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BC" w:rsidRPr="00A5537A" w:rsidRDefault="0011387B" w:rsidP="00C91DB9">
      <w:pPr>
        <w:jc w:val="center"/>
        <w:rPr>
          <w:lang w:val="en-GB"/>
        </w:rPr>
      </w:pPr>
      <w:r>
        <w:rPr>
          <w:noProof/>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C6F68" w:rsidRPr="00A5537A" w:rsidRDefault="002C6F68" w:rsidP="000F7E70">
      <w:pPr>
        <w:autoSpaceDE w:val="0"/>
        <w:ind w:left="720" w:firstLine="720"/>
        <w:jc w:val="center"/>
        <w:rPr>
          <w:b/>
          <w:bCs/>
          <w:lang w:val="en-GB"/>
        </w:rPr>
      </w:pPr>
    </w:p>
    <w:p w:rsidR="000F7E70" w:rsidRPr="00A5537A" w:rsidRDefault="000F7E70" w:rsidP="00C91DB9">
      <w:pPr>
        <w:autoSpaceDE w:val="0"/>
        <w:ind w:firstLine="720"/>
        <w:jc w:val="center"/>
        <w:rPr>
          <w:b/>
          <w:bCs/>
          <w:lang w:val="en-GB"/>
        </w:rPr>
      </w:pPr>
      <w:r w:rsidRPr="00A5537A">
        <w:rPr>
          <w:b/>
          <w:bCs/>
          <w:lang w:val="en-GB"/>
        </w:rPr>
        <w:t>OPINION</w:t>
      </w:r>
    </w:p>
    <w:p w:rsidR="000F7E70" w:rsidRPr="00A5537A" w:rsidRDefault="000F7E70" w:rsidP="000F7E70">
      <w:pPr>
        <w:autoSpaceDE w:val="0"/>
        <w:jc w:val="both"/>
        <w:rPr>
          <w:b/>
          <w:bCs/>
          <w:lang w:val="en-GB"/>
        </w:rPr>
      </w:pPr>
      <w:r w:rsidRPr="00A5537A">
        <w:rPr>
          <w:b/>
          <w:bCs/>
          <w:lang w:val="en-GB"/>
        </w:rPr>
        <w:t xml:space="preserve">Date of adoption: </w:t>
      </w:r>
      <w:r w:rsidR="00901D6F" w:rsidRPr="00901D6F">
        <w:rPr>
          <w:b/>
          <w:bCs/>
          <w:lang w:val="en-GB"/>
        </w:rPr>
        <w:t>26</w:t>
      </w:r>
      <w:r w:rsidR="0011387B" w:rsidRPr="00901D6F">
        <w:rPr>
          <w:b/>
          <w:bCs/>
          <w:lang w:val="en-GB"/>
        </w:rPr>
        <w:t xml:space="preserve"> </w:t>
      </w:r>
      <w:r w:rsidR="00605867" w:rsidRPr="00901D6F">
        <w:rPr>
          <w:b/>
          <w:bCs/>
          <w:lang w:val="en-GB"/>
        </w:rPr>
        <w:t xml:space="preserve">April </w:t>
      </w:r>
      <w:r w:rsidRPr="00901D6F">
        <w:rPr>
          <w:b/>
          <w:bCs/>
          <w:lang w:val="en-GB"/>
        </w:rPr>
        <w:t>20</w:t>
      </w:r>
      <w:r w:rsidR="00C905F1" w:rsidRPr="00901D6F">
        <w:rPr>
          <w:b/>
          <w:bCs/>
          <w:lang w:val="en-GB"/>
        </w:rPr>
        <w:t>1</w:t>
      </w:r>
      <w:r w:rsidR="00A76DB6" w:rsidRPr="00901D6F">
        <w:rPr>
          <w:b/>
          <w:bCs/>
          <w:lang w:val="en-GB"/>
        </w:rPr>
        <w:t>3</w:t>
      </w:r>
    </w:p>
    <w:p w:rsidR="000F7E70" w:rsidRPr="00A5537A" w:rsidRDefault="000F7E70" w:rsidP="000F7E70">
      <w:pPr>
        <w:autoSpaceDE w:val="0"/>
        <w:jc w:val="both"/>
        <w:rPr>
          <w:b/>
          <w:bCs/>
          <w:lang w:val="en-GB"/>
        </w:rPr>
      </w:pPr>
    </w:p>
    <w:p w:rsidR="000F7E70" w:rsidRPr="00A5537A" w:rsidRDefault="000F7E70" w:rsidP="000F7E70">
      <w:pPr>
        <w:autoSpaceDE w:val="0"/>
        <w:jc w:val="both"/>
        <w:rPr>
          <w:b/>
          <w:bCs/>
          <w:lang w:val="en-GB"/>
        </w:rPr>
      </w:pPr>
      <w:r w:rsidRPr="00A5537A">
        <w:rPr>
          <w:b/>
          <w:bCs/>
          <w:lang w:val="en-GB"/>
        </w:rPr>
        <w:t xml:space="preserve">Case No. </w:t>
      </w:r>
      <w:r w:rsidR="00605867">
        <w:rPr>
          <w:b/>
          <w:bCs/>
          <w:lang w:val="en-GB"/>
        </w:rPr>
        <w:t>98</w:t>
      </w:r>
      <w:r w:rsidRPr="00A5537A">
        <w:rPr>
          <w:b/>
          <w:bCs/>
          <w:lang w:val="en-GB"/>
        </w:rPr>
        <w:t>/</w:t>
      </w:r>
      <w:r w:rsidR="00C905F1" w:rsidRPr="00A5537A">
        <w:rPr>
          <w:b/>
          <w:bCs/>
          <w:lang w:val="en-GB"/>
        </w:rPr>
        <w:t>09</w:t>
      </w:r>
    </w:p>
    <w:p w:rsidR="000F7E70" w:rsidRPr="00A5537A" w:rsidRDefault="000F7E70" w:rsidP="000F7E70">
      <w:pPr>
        <w:autoSpaceDE w:val="0"/>
        <w:jc w:val="both"/>
        <w:rPr>
          <w:b/>
          <w:bCs/>
          <w:lang w:val="en-GB"/>
        </w:rPr>
      </w:pPr>
    </w:p>
    <w:p w:rsidR="0011387B" w:rsidRPr="001E1E7C" w:rsidRDefault="00605867" w:rsidP="0011387B">
      <w:pPr>
        <w:autoSpaceDE w:val="0"/>
        <w:autoSpaceDN w:val="0"/>
        <w:adjustRightInd w:val="0"/>
        <w:jc w:val="both"/>
        <w:rPr>
          <w:b/>
          <w:lang w:val="en-GB"/>
        </w:rPr>
      </w:pPr>
      <w:proofErr w:type="spellStart"/>
      <w:r>
        <w:rPr>
          <w:b/>
        </w:rPr>
        <w:t>Jordanka</w:t>
      </w:r>
      <w:proofErr w:type="spellEnd"/>
      <w:r w:rsidR="0011387B">
        <w:rPr>
          <w:b/>
        </w:rPr>
        <w:t xml:space="preserve"> </w:t>
      </w:r>
      <w:r>
        <w:rPr>
          <w:b/>
        </w:rPr>
        <w:t>PA</w:t>
      </w:r>
      <w:r w:rsidR="0011387B">
        <w:rPr>
          <w:b/>
        </w:rPr>
        <w:t>V</w:t>
      </w:r>
      <w:r w:rsidR="0011387B">
        <w:rPr>
          <w:b/>
          <w:lang w:val="en-GB"/>
        </w:rPr>
        <w:t>IĆ</w:t>
      </w:r>
    </w:p>
    <w:p w:rsidR="00A40F98" w:rsidRPr="00A5537A" w:rsidRDefault="00A40F98" w:rsidP="000F7E70">
      <w:pPr>
        <w:autoSpaceDE w:val="0"/>
        <w:jc w:val="both"/>
        <w:rPr>
          <w:b/>
          <w:bCs/>
          <w:lang w:val="en-GB"/>
        </w:rPr>
      </w:pPr>
    </w:p>
    <w:p w:rsidR="000F7E70" w:rsidRPr="00A5537A" w:rsidRDefault="000F7E70" w:rsidP="000F7E70">
      <w:pPr>
        <w:autoSpaceDE w:val="0"/>
        <w:jc w:val="both"/>
        <w:rPr>
          <w:b/>
          <w:bCs/>
          <w:lang w:val="en-GB"/>
        </w:rPr>
      </w:pPr>
      <w:proofErr w:type="gramStart"/>
      <w:r w:rsidRPr="00A5537A">
        <w:rPr>
          <w:b/>
          <w:bCs/>
          <w:lang w:val="en-GB"/>
        </w:rPr>
        <w:t>against</w:t>
      </w:r>
      <w:proofErr w:type="gramEnd"/>
    </w:p>
    <w:p w:rsidR="000F7E70" w:rsidRPr="00A5537A" w:rsidRDefault="000F7E70" w:rsidP="000F7E70">
      <w:pPr>
        <w:autoSpaceDE w:val="0"/>
        <w:jc w:val="both"/>
        <w:rPr>
          <w:b/>
          <w:bCs/>
          <w:lang w:val="en-GB"/>
        </w:rPr>
      </w:pPr>
      <w:r w:rsidRPr="00A5537A">
        <w:rPr>
          <w:b/>
          <w:bCs/>
          <w:lang w:val="en-GB"/>
        </w:rPr>
        <w:t xml:space="preserve"> </w:t>
      </w:r>
    </w:p>
    <w:p w:rsidR="000F7E70" w:rsidRPr="00A5537A" w:rsidRDefault="000F7E70" w:rsidP="000F7E70">
      <w:pPr>
        <w:autoSpaceDE w:val="0"/>
        <w:jc w:val="both"/>
        <w:rPr>
          <w:b/>
          <w:bCs/>
          <w:lang w:val="en-GB"/>
        </w:rPr>
      </w:pPr>
      <w:r w:rsidRPr="00A5537A">
        <w:rPr>
          <w:b/>
          <w:bCs/>
          <w:lang w:val="en-GB"/>
        </w:rPr>
        <w:t xml:space="preserve">UNMIK </w:t>
      </w:r>
    </w:p>
    <w:p w:rsidR="00E07C8C" w:rsidRPr="00A5537A" w:rsidRDefault="00E07C8C" w:rsidP="000F7E70">
      <w:pPr>
        <w:autoSpaceDE w:val="0"/>
        <w:jc w:val="both"/>
        <w:rPr>
          <w:b/>
          <w:bCs/>
          <w:lang w:val="en-GB"/>
        </w:rPr>
      </w:pPr>
    </w:p>
    <w:p w:rsidR="000F7E70" w:rsidRPr="00A5537A" w:rsidRDefault="000F7E70" w:rsidP="000F7E70">
      <w:pPr>
        <w:autoSpaceDE w:val="0"/>
        <w:jc w:val="both"/>
        <w:rPr>
          <w:b/>
          <w:bCs/>
          <w:lang w:val="en-GB"/>
        </w:rPr>
      </w:pPr>
    </w:p>
    <w:p w:rsidR="000F7E70" w:rsidRPr="00A5537A" w:rsidRDefault="000F7E70" w:rsidP="000F7E70">
      <w:pPr>
        <w:autoSpaceDE w:val="0"/>
        <w:jc w:val="both"/>
        <w:rPr>
          <w:lang w:val="en-GB"/>
        </w:rPr>
      </w:pPr>
      <w:r w:rsidRPr="00A5537A">
        <w:rPr>
          <w:lang w:val="en-GB"/>
        </w:rPr>
        <w:t>The Human Rights Advisory Panel</w:t>
      </w:r>
      <w:r w:rsidR="00F379DF" w:rsidRPr="00A5537A">
        <w:rPr>
          <w:lang w:val="en-GB"/>
        </w:rPr>
        <w:t>,</w:t>
      </w:r>
      <w:r w:rsidR="00BD6F0B" w:rsidRPr="00A5537A">
        <w:rPr>
          <w:lang w:val="en-GB"/>
        </w:rPr>
        <w:t xml:space="preserve"> </w:t>
      </w:r>
      <w:r w:rsidRPr="00A5537A">
        <w:rPr>
          <w:lang w:val="en-GB"/>
        </w:rPr>
        <w:t>on</w:t>
      </w:r>
      <w:r w:rsidR="001A08B0" w:rsidRPr="00A5537A">
        <w:rPr>
          <w:lang w:val="en-GB"/>
        </w:rPr>
        <w:t xml:space="preserve"> </w:t>
      </w:r>
      <w:r w:rsidR="00901D6F">
        <w:rPr>
          <w:lang w:val="en-GB"/>
        </w:rPr>
        <w:t>26</w:t>
      </w:r>
      <w:r w:rsidR="0011387B" w:rsidRPr="00570D6A">
        <w:rPr>
          <w:lang w:val="en-GB"/>
        </w:rPr>
        <w:t xml:space="preserve"> </w:t>
      </w:r>
      <w:r w:rsidR="00605867">
        <w:rPr>
          <w:lang w:val="en-GB"/>
        </w:rPr>
        <w:t>April</w:t>
      </w:r>
      <w:r w:rsidR="002B3D61" w:rsidRPr="00570D6A">
        <w:rPr>
          <w:lang w:val="en-GB"/>
        </w:rPr>
        <w:t xml:space="preserve"> </w:t>
      </w:r>
      <w:r w:rsidR="00173F75" w:rsidRPr="00570D6A">
        <w:rPr>
          <w:lang w:val="en-GB"/>
        </w:rPr>
        <w:t>20</w:t>
      </w:r>
      <w:r w:rsidR="005917EC" w:rsidRPr="00570D6A">
        <w:rPr>
          <w:lang w:val="en-GB"/>
        </w:rPr>
        <w:t>1</w:t>
      </w:r>
      <w:r w:rsidR="00A76DB6" w:rsidRPr="00570D6A">
        <w:rPr>
          <w:lang w:val="en-GB"/>
        </w:rPr>
        <w:t>3</w:t>
      </w:r>
      <w:r w:rsidR="004234FA" w:rsidRPr="00A5537A">
        <w:rPr>
          <w:lang w:val="en-GB"/>
        </w:rPr>
        <w:t>,</w:t>
      </w:r>
    </w:p>
    <w:p w:rsidR="000F7E70" w:rsidRPr="00A5537A" w:rsidRDefault="000F7E70" w:rsidP="000F7E70">
      <w:pPr>
        <w:autoSpaceDE w:val="0"/>
        <w:jc w:val="both"/>
        <w:rPr>
          <w:lang w:val="en-GB"/>
        </w:rPr>
      </w:pPr>
      <w:proofErr w:type="gramStart"/>
      <w:r w:rsidRPr="00A5537A">
        <w:rPr>
          <w:lang w:val="en-GB"/>
        </w:rPr>
        <w:t>with</w:t>
      </w:r>
      <w:proofErr w:type="gramEnd"/>
      <w:r w:rsidRPr="00A5537A">
        <w:rPr>
          <w:lang w:val="en-GB"/>
        </w:rPr>
        <w:t xml:space="preserve"> the following members </w:t>
      </w:r>
      <w:r w:rsidR="00B76B82">
        <w:rPr>
          <w:lang w:val="en-GB"/>
        </w:rPr>
        <w:t>taking part:</w:t>
      </w:r>
    </w:p>
    <w:p w:rsidR="000F7E70" w:rsidRPr="00A5537A" w:rsidRDefault="000F7E70" w:rsidP="000F7E70">
      <w:pPr>
        <w:autoSpaceDE w:val="0"/>
        <w:jc w:val="both"/>
        <w:rPr>
          <w:lang w:val="en-GB"/>
        </w:rPr>
      </w:pPr>
    </w:p>
    <w:p w:rsidR="00E07C8C" w:rsidRPr="00A5537A" w:rsidRDefault="00E07C8C" w:rsidP="000F7E70">
      <w:pPr>
        <w:autoSpaceDE w:val="0"/>
        <w:jc w:val="both"/>
        <w:rPr>
          <w:lang w:val="en-GB"/>
        </w:rPr>
      </w:pPr>
      <w:r w:rsidRPr="00A5537A">
        <w:rPr>
          <w:lang w:val="en-GB"/>
        </w:rPr>
        <w:t xml:space="preserve">Mr </w:t>
      </w:r>
      <w:proofErr w:type="spellStart"/>
      <w:r w:rsidRPr="00A5537A">
        <w:rPr>
          <w:lang w:val="en-GB"/>
        </w:rPr>
        <w:t>Marek</w:t>
      </w:r>
      <w:proofErr w:type="spellEnd"/>
      <w:r w:rsidRPr="00A5537A">
        <w:rPr>
          <w:lang w:val="en-GB"/>
        </w:rPr>
        <w:t xml:space="preserve"> NOWICKI, Presiding Membe</w:t>
      </w:r>
      <w:r w:rsidR="000D5BCF" w:rsidRPr="00A5537A">
        <w:rPr>
          <w:lang w:val="en-GB"/>
        </w:rPr>
        <w:t>r</w:t>
      </w:r>
    </w:p>
    <w:p w:rsidR="000F7E70" w:rsidRPr="00A5537A" w:rsidRDefault="000F7E70" w:rsidP="000F7E70">
      <w:pPr>
        <w:autoSpaceDE w:val="0"/>
        <w:jc w:val="both"/>
        <w:rPr>
          <w:lang w:val="en-GB"/>
        </w:rPr>
      </w:pPr>
      <w:r w:rsidRPr="00A5537A">
        <w:rPr>
          <w:lang w:val="en-GB"/>
        </w:rPr>
        <w:t xml:space="preserve">Ms </w:t>
      </w:r>
      <w:r w:rsidR="00E07C8C" w:rsidRPr="00A5537A">
        <w:rPr>
          <w:lang w:val="en-GB"/>
        </w:rPr>
        <w:t>Christine CHINKIN</w:t>
      </w:r>
    </w:p>
    <w:p w:rsidR="000F7E70" w:rsidRPr="00A5537A" w:rsidRDefault="00A40F98" w:rsidP="000F7E70">
      <w:pPr>
        <w:autoSpaceDE w:val="0"/>
        <w:jc w:val="both"/>
        <w:rPr>
          <w:lang w:val="en-GB"/>
        </w:rPr>
      </w:pPr>
      <w:r w:rsidRPr="00A5537A">
        <w:rPr>
          <w:lang w:val="en-GB"/>
        </w:rPr>
        <w:t xml:space="preserve">Ms Françoise </w:t>
      </w:r>
      <w:r w:rsidR="00F04F5B" w:rsidRPr="00A5537A">
        <w:rPr>
          <w:lang w:val="en-GB"/>
        </w:rPr>
        <w:t>TULKENS</w:t>
      </w:r>
    </w:p>
    <w:p w:rsidR="00A76DB6" w:rsidRPr="00A5537A" w:rsidRDefault="00A76DB6" w:rsidP="000F7E70">
      <w:pPr>
        <w:autoSpaceDE w:val="0"/>
        <w:jc w:val="both"/>
        <w:rPr>
          <w:lang w:val="en-GB"/>
        </w:rPr>
      </w:pPr>
    </w:p>
    <w:p w:rsidR="00E07C8C" w:rsidRPr="00A5537A" w:rsidRDefault="00E07C8C" w:rsidP="000F7E70">
      <w:pPr>
        <w:autoSpaceDE w:val="0"/>
        <w:jc w:val="both"/>
        <w:rPr>
          <w:lang w:val="en-GB"/>
        </w:rPr>
      </w:pPr>
      <w:r w:rsidRPr="00A5537A">
        <w:rPr>
          <w:lang w:val="en-GB"/>
        </w:rPr>
        <w:t>Assisted by</w:t>
      </w:r>
    </w:p>
    <w:p w:rsidR="000F7E70" w:rsidRPr="00A5537A" w:rsidRDefault="00A16C77" w:rsidP="000F7E70">
      <w:pPr>
        <w:autoSpaceDE w:val="0"/>
        <w:jc w:val="both"/>
        <w:rPr>
          <w:lang w:val="en-GB"/>
        </w:rPr>
      </w:pPr>
      <w:r w:rsidRPr="00A5537A">
        <w:rPr>
          <w:lang w:val="en-GB"/>
        </w:rPr>
        <w:t>Mr</w:t>
      </w:r>
      <w:r w:rsidR="000F7E70" w:rsidRPr="00A5537A">
        <w:rPr>
          <w:lang w:val="en-GB"/>
        </w:rPr>
        <w:t xml:space="preserve"> </w:t>
      </w:r>
      <w:proofErr w:type="spellStart"/>
      <w:r w:rsidR="00E07C8C" w:rsidRPr="00A5537A">
        <w:rPr>
          <w:lang w:val="en-GB"/>
        </w:rPr>
        <w:t>Andrey</w:t>
      </w:r>
      <w:proofErr w:type="spellEnd"/>
      <w:r w:rsidR="00E07C8C" w:rsidRPr="00A5537A">
        <w:rPr>
          <w:lang w:val="en-GB"/>
        </w:rPr>
        <w:t xml:space="preserve"> ANTONOV</w:t>
      </w:r>
      <w:r w:rsidR="000F7E70" w:rsidRPr="00A5537A">
        <w:rPr>
          <w:lang w:val="en-GB"/>
        </w:rPr>
        <w:t>, Executive Officer</w:t>
      </w:r>
    </w:p>
    <w:p w:rsidR="000F7E70" w:rsidRPr="00A5537A" w:rsidRDefault="000F7E70" w:rsidP="000F7E70">
      <w:pPr>
        <w:autoSpaceDE w:val="0"/>
        <w:jc w:val="both"/>
        <w:rPr>
          <w:lang w:val="en-GB"/>
        </w:rPr>
      </w:pPr>
    </w:p>
    <w:p w:rsidR="00E07C8C" w:rsidRPr="00A5537A" w:rsidRDefault="00E07C8C" w:rsidP="000F7E70">
      <w:pPr>
        <w:autoSpaceDE w:val="0"/>
        <w:jc w:val="both"/>
        <w:rPr>
          <w:lang w:val="en-GB"/>
        </w:rPr>
      </w:pPr>
    </w:p>
    <w:p w:rsidR="000F7E70" w:rsidRPr="00A5537A" w:rsidRDefault="000F7E70" w:rsidP="000F7E70">
      <w:pPr>
        <w:autoSpaceDE w:val="0"/>
        <w:jc w:val="both"/>
        <w:rPr>
          <w:lang w:val="en-GB"/>
        </w:rPr>
      </w:pPr>
      <w:r w:rsidRPr="00A5537A">
        <w:rPr>
          <w:lang w:val="en-GB"/>
        </w:rPr>
        <w:t>Having considered the aforementioned complaint, introduced pursuant to Section 1.2 of UNMIK Regulation No. 2006/12 of 23</w:t>
      </w:r>
      <w:r w:rsidR="00570D6A">
        <w:rPr>
          <w:lang w:val="en-GB"/>
        </w:rPr>
        <w:t xml:space="preserve"> March 2006 on the establishment</w:t>
      </w:r>
      <w:r w:rsidRPr="00A5537A">
        <w:rPr>
          <w:lang w:val="en-GB"/>
        </w:rPr>
        <w:t xml:space="preserve"> of the Human Rights Advisory Panel,</w:t>
      </w:r>
    </w:p>
    <w:p w:rsidR="000F7E70" w:rsidRPr="00A5537A" w:rsidRDefault="000F7E70" w:rsidP="000F7E70">
      <w:pPr>
        <w:autoSpaceDE w:val="0"/>
        <w:jc w:val="both"/>
        <w:rPr>
          <w:lang w:val="en-GB"/>
        </w:rPr>
      </w:pPr>
    </w:p>
    <w:p w:rsidR="00F379DF" w:rsidRPr="00A5537A" w:rsidRDefault="00F379DF" w:rsidP="000F7E70">
      <w:pPr>
        <w:autoSpaceDE w:val="0"/>
        <w:jc w:val="both"/>
        <w:rPr>
          <w:lang w:val="en-GB"/>
        </w:rPr>
      </w:pPr>
      <w:r w:rsidRPr="00A5537A">
        <w:rPr>
          <w:lang w:val="en-GB"/>
        </w:rPr>
        <w:t>Having deliberated</w:t>
      </w:r>
      <w:r w:rsidR="002201E7" w:rsidRPr="00A5537A">
        <w:rPr>
          <w:lang w:val="en-GB"/>
        </w:rPr>
        <w:t>,</w:t>
      </w:r>
      <w:r w:rsidR="00B76B82">
        <w:rPr>
          <w:lang w:val="en-GB"/>
        </w:rPr>
        <w:t xml:space="preserve"> including through electronic means, in accordance with Rule 13 §</w:t>
      </w:r>
      <w:r w:rsidR="00901D6F">
        <w:rPr>
          <w:lang w:val="en-GB"/>
        </w:rPr>
        <w:t xml:space="preserve"> </w:t>
      </w:r>
      <w:r w:rsidR="00B76B82">
        <w:rPr>
          <w:lang w:val="en-GB"/>
        </w:rPr>
        <w:t xml:space="preserve">2 of its Rules of Procedure, </w:t>
      </w:r>
      <w:r w:rsidRPr="00A5537A">
        <w:t xml:space="preserve">makes the following </w:t>
      </w:r>
      <w:r w:rsidR="002201E7" w:rsidRPr="00A5537A">
        <w:t>findings and recommendations</w:t>
      </w:r>
      <w:r w:rsidRPr="00A5537A">
        <w:rPr>
          <w:lang w:val="en-GB"/>
        </w:rPr>
        <w:t>:</w:t>
      </w:r>
    </w:p>
    <w:p w:rsidR="000F7E70" w:rsidRPr="00A5537A" w:rsidRDefault="000F7E70" w:rsidP="000F7E70">
      <w:pPr>
        <w:autoSpaceDE w:val="0"/>
        <w:jc w:val="both"/>
        <w:rPr>
          <w:lang w:val="en-GB"/>
        </w:rPr>
      </w:pPr>
      <w:r w:rsidRPr="00A5537A">
        <w:rPr>
          <w:lang w:val="en-GB"/>
        </w:rPr>
        <w:t xml:space="preserve"> </w:t>
      </w:r>
    </w:p>
    <w:p w:rsidR="0016154E" w:rsidRPr="00A5537A" w:rsidRDefault="0016154E" w:rsidP="00EC64DD">
      <w:pPr>
        <w:tabs>
          <w:tab w:val="left" w:pos="360"/>
        </w:tabs>
        <w:autoSpaceDE w:val="0"/>
        <w:ind w:left="360" w:hanging="360"/>
        <w:jc w:val="both"/>
        <w:rPr>
          <w:lang w:val="en-GB"/>
        </w:rPr>
      </w:pPr>
    </w:p>
    <w:p w:rsidR="0016154E" w:rsidRPr="00A5537A" w:rsidRDefault="0016154E" w:rsidP="00EC64DD">
      <w:pPr>
        <w:numPr>
          <w:ilvl w:val="0"/>
          <w:numId w:val="2"/>
        </w:numPr>
        <w:tabs>
          <w:tab w:val="left" w:pos="360"/>
        </w:tabs>
        <w:suppressAutoHyphens/>
        <w:autoSpaceDE w:val="0"/>
        <w:ind w:left="360" w:hanging="360"/>
        <w:jc w:val="both"/>
        <w:rPr>
          <w:b/>
          <w:bCs/>
          <w:lang w:val="en-GB"/>
        </w:rPr>
      </w:pPr>
      <w:r w:rsidRPr="00A5537A">
        <w:rPr>
          <w:b/>
          <w:bCs/>
          <w:lang w:val="en-GB"/>
        </w:rPr>
        <w:t>PROCEEDINGS BEFORE THE PANEL</w:t>
      </w:r>
    </w:p>
    <w:p w:rsidR="0016154E" w:rsidRPr="00A5537A" w:rsidRDefault="0016154E" w:rsidP="00EC64DD">
      <w:pPr>
        <w:tabs>
          <w:tab w:val="left" w:pos="360"/>
        </w:tabs>
        <w:autoSpaceDE w:val="0"/>
        <w:ind w:left="360" w:hanging="360"/>
        <w:jc w:val="both"/>
        <w:rPr>
          <w:b/>
          <w:bCs/>
          <w:lang w:val="en-GB"/>
        </w:rPr>
      </w:pPr>
    </w:p>
    <w:p w:rsidR="0011387B" w:rsidRPr="00901D6F" w:rsidRDefault="005F686D" w:rsidP="0011387B">
      <w:pPr>
        <w:pStyle w:val="Default"/>
        <w:numPr>
          <w:ilvl w:val="0"/>
          <w:numId w:val="5"/>
        </w:numPr>
        <w:tabs>
          <w:tab w:val="left" w:pos="360"/>
        </w:tabs>
        <w:ind w:left="360"/>
        <w:jc w:val="both"/>
        <w:rPr>
          <w:lang w:val="en-GB"/>
        </w:rPr>
      </w:pPr>
      <w:r w:rsidRPr="00901D6F">
        <w:rPr>
          <w:lang w:val="en-GB"/>
        </w:rPr>
        <w:t xml:space="preserve">The complaint was introduced on </w:t>
      </w:r>
      <w:r w:rsidR="0011387B" w:rsidRPr="00901D6F">
        <w:rPr>
          <w:lang w:val="en-GB"/>
        </w:rPr>
        <w:t xml:space="preserve">30 April 2009 </w:t>
      </w:r>
      <w:r w:rsidRPr="00901D6F">
        <w:rPr>
          <w:lang w:val="en-GB"/>
        </w:rPr>
        <w:t>and registered on the same date.</w:t>
      </w:r>
    </w:p>
    <w:p w:rsidR="005F686D" w:rsidRPr="00901D6F" w:rsidRDefault="005F686D" w:rsidP="00901D6F">
      <w:pPr>
        <w:pStyle w:val="Default"/>
        <w:tabs>
          <w:tab w:val="left" w:pos="360"/>
        </w:tabs>
        <w:jc w:val="both"/>
        <w:rPr>
          <w:lang w:val="en-GB"/>
        </w:rPr>
      </w:pPr>
    </w:p>
    <w:p w:rsidR="005F686D" w:rsidRPr="00901D6F" w:rsidRDefault="005F686D" w:rsidP="00EC64DD">
      <w:pPr>
        <w:pStyle w:val="Default"/>
        <w:numPr>
          <w:ilvl w:val="0"/>
          <w:numId w:val="5"/>
        </w:numPr>
        <w:tabs>
          <w:tab w:val="left" w:pos="360"/>
        </w:tabs>
        <w:ind w:left="360"/>
        <w:jc w:val="both"/>
        <w:rPr>
          <w:lang w:val="en-GB"/>
        </w:rPr>
      </w:pPr>
      <w:r w:rsidRPr="00901D6F">
        <w:rPr>
          <w:lang w:val="en-GB"/>
        </w:rPr>
        <w:t xml:space="preserve">On </w:t>
      </w:r>
      <w:r w:rsidR="006266A8" w:rsidRPr="00901D6F">
        <w:rPr>
          <w:lang w:val="en-GB"/>
        </w:rPr>
        <w:t>9</w:t>
      </w:r>
      <w:r w:rsidR="0011387B" w:rsidRPr="00901D6F">
        <w:rPr>
          <w:lang w:val="en-GB"/>
        </w:rPr>
        <w:t xml:space="preserve"> December 2009</w:t>
      </w:r>
      <w:r w:rsidRPr="00901D6F">
        <w:rPr>
          <w:lang w:val="en-GB"/>
        </w:rPr>
        <w:t xml:space="preserve">, the Panel requested further information from the complainant. The complainant </w:t>
      </w:r>
      <w:r w:rsidR="00C8354E" w:rsidRPr="00901D6F">
        <w:rPr>
          <w:lang w:val="en-GB"/>
        </w:rPr>
        <w:t xml:space="preserve">responded on </w:t>
      </w:r>
      <w:r w:rsidR="006266A8" w:rsidRPr="00901D6F">
        <w:rPr>
          <w:lang w:val="en-GB"/>
        </w:rPr>
        <w:t>29</w:t>
      </w:r>
      <w:r w:rsidR="0011387B" w:rsidRPr="00901D6F">
        <w:rPr>
          <w:lang w:val="en-GB"/>
        </w:rPr>
        <w:t xml:space="preserve"> </w:t>
      </w:r>
      <w:r w:rsidR="006266A8" w:rsidRPr="00901D6F">
        <w:rPr>
          <w:lang w:val="en-GB"/>
        </w:rPr>
        <w:t>November</w:t>
      </w:r>
      <w:r w:rsidR="0011387B" w:rsidRPr="00901D6F">
        <w:rPr>
          <w:lang w:val="en-GB"/>
        </w:rPr>
        <w:t xml:space="preserve"> 2010</w:t>
      </w:r>
      <w:r w:rsidR="00C8354E" w:rsidRPr="00901D6F">
        <w:rPr>
          <w:lang w:val="en-GB"/>
        </w:rPr>
        <w:t>.</w:t>
      </w:r>
    </w:p>
    <w:p w:rsidR="005F686D" w:rsidRPr="00901D6F" w:rsidRDefault="005F686D" w:rsidP="00EC64DD">
      <w:pPr>
        <w:pStyle w:val="ListParagraph"/>
        <w:tabs>
          <w:tab w:val="left" w:pos="360"/>
        </w:tabs>
        <w:ind w:left="360" w:hanging="360"/>
        <w:rPr>
          <w:lang w:val="en-GB"/>
        </w:rPr>
      </w:pPr>
    </w:p>
    <w:p w:rsidR="00901D6F" w:rsidRPr="00901D6F" w:rsidRDefault="00A172DA">
      <w:pPr>
        <w:widowControl w:val="0"/>
        <w:numPr>
          <w:ilvl w:val="0"/>
          <w:numId w:val="5"/>
        </w:numPr>
        <w:tabs>
          <w:tab w:val="left" w:pos="360"/>
          <w:tab w:val="left" w:pos="1080"/>
        </w:tabs>
        <w:suppressAutoHyphens/>
        <w:ind w:left="360"/>
        <w:jc w:val="both"/>
        <w:rPr>
          <w:lang w:val="en-GB"/>
        </w:rPr>
      </w:pPr>
      <w:r w:rsidRPr="00901D6F">
        <w:rPr>
          <w:lang w:val="en-GB"/>
        </w:rPr>
        <w:t xml:space="preserve">On 19 April 2011, the Panel communicated the case to the Special Representative of </w:t>
      </w:r>
      <w:r w:rsidRPr="00901D6F">
        <w:rPr>
          <w:lang w:val="en-GB"/>
        </w:rPr>
        <w:lastRenderedPageBreak/>
        <w:t>the Secretary-General (SRSG</w:t>
      </w:r>
      <w:proofErr w:type="gramStart"/>
      <w:r w:rsidRPr="00901D6F">
        <w:rPr>
          <w:lang w:val="en-GB"/>
        </w:rPr>
        <w:t>)</w:t>
      </w:r>
      <w:proofErr w:type="gramEnd"/>
      <w:r w:rsidR="00F3473D" w:rsidRPr="00901D6F">
        <w:rPr>
          <w:rStyle w:val="FootnoteReference"/>
          <w:lang w:val="en-GB"/>
        </w:rPr>
        <w:footnoteReference w:id="1"/>
      </w:r>
      <w:r w:rsidRPr="00901D6F">
        <w:rPr>
          <w:lang w:val="en-GB"/>
        </w:rPr>
        <w:t xml:space="preserve">for UNMIK’s comments on the admissibility of the case and requested the SRSG to submit investigative files. </w:t>
      </w:r>
    </w:p>
    <w:p w:rsidR="00901D6F" w:rsidRPr="00901D6F" w:rsidRDefault="00901D6F">
      <w:pPr>
        <w:widowControl w:val="0"/>
        <w:tabs>
          <w:tab w:val="left" w:pos="360"/>
          <w:tab w:val="left" w:pos="1080"/>
        </w:tabs>
        <w:suppressAutoHyphens/>
        <w:jc w:val="both"/>
        <w:rPr>
          <w:lang w:val="en-GB"/>
        </w:rPr>
      </w:pPr>
    </w:p>
    <w:p w:rsidR="005F686D" w:rsidRPr="00901D6F" w:rsidRDefault="00A172DA" w:rsidP="00EC64DD">
      <w:pPr>
        <w:pStyle w:val="Default"/>
        <w:numPr>
          <w:ilvl w:val="0"/>
          <w:numId w:val="5"/>
        </w:numPr>
        <w:tabs>
          <w:tab w:val="left" w:pos="360"/>
        </w:tabs>
        <w:ind w:left="360"/>
        <w:jc w:val="both"/>
        <w:rPr>
          <w:lang w:val="en-GB"/>
        </w:rPr>
      </w:pPr>
      <w:r w:rsidRPr="00901D6F">
        <w:rPr>
          <w:lang w:val="en-GB"/>
        </w:rPr>
        <w:t xml:space="preserve">On 31 May 2011, the SRSG provided UNMIK’s response. </w:t>
      </w:r>
    </w:p>
    <w:p w:rsidR="00F87807" w:rsidRPr="00901D6F" w:rsidRDefault="00F87807" w:rsidP="0067077C">
      <w:pPr>
        <w:widowControl w:val="0"/>
        <w:tabs>
          <w:tab w:val="left" w:pos="360"/>
          <w:tab w:val="left" w:pos="1080"/>
        </w:tabs>
        <w:suppressAutoHyphens/>
        <w:jc w:val="both"/>
        <w:rPr>
          <w:lang w:val="en-GB"/>
        </w:rPr>
      </w:pPr>
    </w:p>
    <w:p w:rsidR="0016154E" w:rsidRPr="00901D6F" w:rsidRDefault="0016154E" w:rsidP="00EC64DD">
      <w:pPr>
        <w:widowControl w:val="0"/>
        <w:numPr>
          <w:ilvl w:val="0"/>
          <w:numId w:val="5"/>
        </w:numPr>
        <w:tabs>
          <w:tab w:val="left" w:pos="360"/>
          <w:tab w:val="left" w:pos="1080"/>
        </w:tabs>
        <w:suppressAutoHyphens/>
        <w:ind w:left="360"/>
        <w:jc w:val="both"/>
        <w:rPr>
          <w:lang w:val="en-GB"/>
        </w:rPr>
      </w:pPr>
      <w:r w:rsidRPr="00901D6F">
        <w:rPr>
          <w:lang w:val="en-GB"/>
        </w:rPr>
        <w:t xml:space="preserve">On </w:t>
      </w:r>
      <w:r w:rsidR="0011387B" w:rsidRPr="00901D6F">
        <w:rPr>
          <w:lang w:val="en-GB"/>
        </w:rPr>
        <w:t>12</w:t>
      </w:r>
      <w:r w:rsidR="00F87807" w:rsidRPr="00901D6F">
        <w:rPr>
          <w:lang w:val="en-GB"/>
        </w:rPr>
        <w:t xml:space="preserve"> </w:t>
      </w:r>
      <w:r w:rsidR="0011387B" w:rsidRPr="00901D6F">
        <w:rPr>
          <w:lang w:val="en-GB"/>
        </w:rPr>
        <w:t>August 2011</w:t>
      </w:r>
      <w:r w:rsidR="001852D9" w:rsidRPr="00901D6F">
        <w:rPr>
          <w:lang w:val="en-GB"/>
        </w:rPr>
        <w:t>,</w:t>
      </w:r>
      <w:r w:rsidR="00F87807" w:rsidRPr="00901D6F">
        <w:rPr>
          <w:lang w:val="en-GB"/>
        </w:rPr>
        <w:t xml:space="preserve"> </w:t>
      </w:r>
      <w:r w:rsidRPr="00901D6F">
        <w:rPr>
          <w:lang w:val="en-GB"/>
        </w:rPr>
        <w:t>the Panel declared the complaint admissible.</w:t>
      </w:r>
    </w:p>
    <w:p w:rsidR="0016154E" w:rsidRPr="00901D6F" w:rsidRDefault="0016154E" w:rsidP="00EC64DD">
      <w:pPr>
        <w:widowControl w:val="0"/>
        <w:tabs>
          <w:tab w:val="left" w:pos="360"/>
          <w:tab w:val="left" w:pos="1080"/>
        </w:tabs>
        <w:suppressAutoHyphens/>
        <w:ind w:left="360" w:hanging="360"/>
        <w:jc w:val="both"/>
        <w:rPr>
          <w:lang w:val="en-GB"/>
        </w:rPr>
      </w:pPr>
    </w:p>
    <w:p w:rsidR="00901D6F" w:rsidRPr="00901D6F" w:rsidRDefault="00F87807">
      <w:pPr>
        <w:widowControl w:val="0"/>
        <w:numPr>
          <w:ilvl w:val="0"/>
          <w:numId w:val="5"/>
        </w:numPr>
        <w:tabs>
          <w:tab w:val="left" w:pos="360"/>
          <w:tab w:val="left" w:pos="1080"/>
        </w:tabs>
        <w:suppressAutoHyphens/>
        <w:ind w:left="360"/>
        <w:jc w:val="both"/>
        <w:rPr>
          <w:lang w:val="en-GB"/>
        </w:rPr>
      </w:pPr>
      <w:r w:rsidRPr="00901D6F">
        <w:rPr>
          <w:lang w:val="en-GB"/>
        </w:rPr>
        <w:t>On</w:t>
      </w:r>
      <w:r w:rsidR="0016154E" w:rsidRPr="00901D6F">
        <w:rPr>
          <w:lang w:val="en-GB"/>
        </w:rPr>
        <w:t xml:space="preserve"> </w:t>
      </w:r>
      <w:r w:rsidR="0011387B" w:rsidRPr="00901D6F">
        <w:rPr>
          <w:lang w:val="en-GB"/>
        </w:rPr>
        <w:t>17</w:t>
      </w:r>
      <w:r w:rsidR="0016154E" w:rsidRPr="00901D6F">
        <w:rPr>
          <w:lang w:val="en-GB"/>
        </w:rPr>
        <w:t xml:space="preserve"> </w:t>
      </w:r>
      <w:r w:rsidR="0011387B" w:rsidRPr="00901D6F">
        <w:rPr>
          <w:lang w:val="en-GB"/>
        </w:rPr>
        <w:t>August</w:t>
      </w:r>
      <w:r w:rsidRPr="00901D6F">
        <w:rPr>
          <w:lang w:val="en-GB"/>
        </w:rPr>
        <w:t xml:space="preserve"> </w:t>
      </w:r>
      <w:r w:rsidR="0016154E" w:rsidRPr="00901D6F">
        <w:rPr>
          <w:lang w:val="en-GB"/>
        </w:rPr>
        <w:t>201</w:t>
      </w:r>
      <w:r w:rsidR="0011387B" w:rsidRPr="00901D6F">
        <w:rPr>
          <w:lang w:val="en-GB"/>
        </w:rPr>
        <w:t>1</w:t>
      </w:r>
      <w:r w:rsidR="001852D9" w:rsidRPr="00901D6F">
        <w:rPr>
          <w:lang w:val="en-GB"/>
        </w:rPr>
        <w:t>,</w:t>
      </w:r>
      <w:r w:rsidR="0016154E" w:rsidRPr="00901D6F">
        <w:rPr>
          <w:lang w:val="en-GB"/>
        </w:rPr>
        <w:t xml:space="preserve"> the </w:t>
      </w:r>
      <w:r w:rsidR="00842CA9" w:rsidRPr="00901D6F">
        <w:rPr>
          <w:lang w:val="en-GB"/>
        </w:rPr>
        <w:t>Panel forwarded</w:t>
      </w:r>
      <w:r w:rsidRPr="00901D6F">
        <w:rPr>
          <w:lang w:val="en-GB"/>
        </w:rPr>
        <w:t xml:space="preserve"> the decision on admissibility to the </w:t>
      </w:r>
      <w:r w:rsidR="0016154E" w:rsidRPr="00901D6F">
        <w:rPr>
          <w:lang w:val="en-GB"/>
        </w:rPr>
        <w:t>SRSG</w:t>
      </w:r>
      <w:r w:rsidRPr="00901D6F">
        <w:rPr>
          <w:lang w:val="en-GB"/>
        </w:rPr>
        <w:t xml:space="preserve">, inviting </w:t>
      </w:r>
      <w:r w:rsidR="001852D9" w:rsidRPr="00901D6F">
        <w:rPr>
          <w:lang w:val="en-GB"/>
        </w:rPr>
        <w:t>UNMIK’s observations o</w:t>
      </w:r>
      <w:r w:rsidRPr="00901D6F">
        <w:rPr>
          <w:lang w:val="en-GB"/>
        </w:rPr>
        <w:t>n the merits of the case</w:t>
      </w:r>
      <w:r w:rsidR="00D023BC" w:rsidRPr="00901D6F">
        <w:rPr>
          <w:lang w:val="en-GB"/>
        </w:rPr>
        <w:t xml:space="preserve"> and reiterated its request for the investigative files</w:t>
      </w:r>
      <w:r w:rsidR="0016154E" w:rsidRPr="00901D6F">
        <w:rPr>
          <w:lang w:val="en-GB"/>
        </w:rPr>
        <w:t>.</w:t>
      </w:r>
      <w:r w:rsidR="002579EE" w:rsidRPr="00901D6F">
        <w:rPr>
          <w:lang w:val="en-GB"/>
        </w:rPr>
        <w:t xml:space="preserve"> </w:t>
      </w:r>
    </w:p>
    <w:p w:rsidR="00901D6F" w:rsidRPr="00901D6F" w:rsidRDefault="00901D6F">
      <w:pPr>
        <w:pStyle w:val="ListParagraph"/>
        <w:rPr>
          <w:lang w:val="en-GB"/>
        </w:rPr>
      </w:pPr>
    </w:p>
    <w:p w:rsidR="00BA25EA" w:rsidRPr="00901D6F" w:rsidRDefault="00A172DA" w:rsidP="00EC64DD">
      <w:pPr>
        <w:widowControl w:val="0"/>
        <w:numPr>
          <w:ilvl w:val="0"/>
          <w:numId w:val="5"/>
        </w:numPr>
        <w:tabs>
          <w:tab w:val="left" w:pos="360"/>
          <w:tab w:val="left" w:pos="1080"/>
        </w:tabs>
        <w:suppressAutoHyphens/>
        <w:ind w:left="360"/>
        <w:jc w:val="both"/>
        <w:rPr>
          <w:lang w:val="en-GB"/>
        </w:rPr>
      </w:pPr>
      <w:r w:rsidRPr="00901D6F">
        <w:rPr>
          <w:lang w:val="en-GB"/>
        </w:rPr>
        <w:t>On 23 December 2011, UNMIK responded by submitting the relev</w:t>
      </w:r>
      <w:r w:rsidR="00EF7A4F" w:rsidRPr="00901D6F">
        <w:rPr>
          <w:lang w:val="en-GB"/>
        </w:rPr>
        <w:t xml:space="preserve">ant files. </w:t>
      </w:r>
    </w:p>
    <w:p w:rsidR="00901D6F" w:rsidRPr="00901D6F" w:rsidRDefault="00901D6F">
      <w:pPr>
        <w:widowControl w:val="0"/>
        <w:tabs>
          <w:tab w:val="left" w:pos="360"/>
          <w:tab w:val="left" w:pos="1080"/>
        </w:tabs>
        <w:suppressAutoHyphens/>
        <w:ind w:left="360"/>
        <w:jc w:val="both"/>
        <w:rPr>
          <w:lang w:val="en-GB"/>
        </w:rPr>
      </w:pPr>
    </w:p>
    <w:p w:rsidR="005B71F4" w:rsidRPr="00901D6F" w:rsidRDefault="00EF7A4F" w:rsidP="00EC64DD">
      <w:pPr>
        <w:widowControl w:val="0"/>
        <w:numPr>
          <w:ilvl w:val="0"/>
          <w:numId w:val="5"/>
        </w:numPr>
        <w:tabs>
          <w:tab w:val="left" w:pos="360"/>
          <w:tab w:val="left" w:pos="1080"/>
        </w:tabs>
        <w:suppressAutoHyphens/>
        <w:ind w:left="360"/>
        <w:jc w:val="both"/>
        <w:rPr>
          <w:lang w:val="en-GB"/>
        </w:rPr>
      </w:pPr>
      <w:r w:rsidRPr="00901D6F">
        <w:rPr>
          <w:lang w:val="en-GB"/>
        </w:rPr>
        <w:t>On 15</w:t>
      </w:r>
      <w:r w:rsidR="0087512A" w:rsidRPr="00901D6F">
        <w:rPr>
          <w:lang w:val="en-GB"/>
        </w:rPr>
        <w:t xml:space="preserve"> </w:t>
      </w:r>
      <w:r w:rsidRPr="00901D6F">
        <w:rPr>
          <w:lang w:val="en-GB"/>
        </w:rPr>
        <w:t>March</w:t>
      </w:r>
      <w:r w:rsidR="0087512A" w:rsidRPr="00901D6F">
        <w:rPr>
          <w:lang w:val="en-GB"/>
        </w:rPr>
        <w:t xml:space="preserve"> 2013, the Panel requested UNMIK to confirm if the disclosure of files concerning the case could be considered final. </w:t>
      </w:r>
      <w:r w:rsidR="002862F4" w:rsidRPr="00901D6F">
        <w:rPr>
          <w:lang w:val="en-GB"/>
        </w:rPr>
        <w:t xml:space="preserve"> </w:t>
      </w:r>
      <w:r w:rsidRPr="00901D6F">
        <w:rPr>
          <w:lang w:val="en-GB"/>
        </w:rPr>
        <w:t xml:space="preserve">On 20 March 2013, </w:t>
      </w:r>
      <w:r w:rsidR="002862F4" w:rsidRPr="00901D6F">
        <w:rPr>
          <w:lang w:val="en-GB"/>
        </w:rPr>
        <w:t xml:space="preserve">UNMIK responded </w:t>
      </w:r>
      <w:r w:rsidRPr="00901D6F">
        <w:rPr>
          <w:lang w:val="en-GB"/>
        </w:rPr>
        <w:t>affirmatively</w:t>
      </w:r>
      <w:r w:rsidR="002579EE" w:rsidRPr="00901D6F">
        <w:rPr>
          <w:lang w:val="en-GB"/>
        </w:rPr>
        <w:t>.</w:t>
      </w:r>
    </w:p>
    <w:p w:rsidR="007C65E0" w:rsidRPr="00A5537A" w:rsidRDefault="007C65E0" w:rsidP="00EC64DD">
      <w:pPr>
        <w:pStyle w:val="ListParagraph"/>
        <w:tabs>
          <w:tab w:val="left" w:pos="360"/>
        </w:tabs>
        <w:ind w:left="360" w:hanging="360"/>
        <w:rPr>
          <w:lang w:val="en-GB"/>
        </w:rPr>
      </w:pPr>
    </w:p>
    <w:p w:rsidR="000D21A8" w:rsidRPr="00A5537A" w:rsidRDefault="000D21A8" w:rsidP="00EC64DD">
      <w:pPr>
        <w:pStyle w:val="ListParagraph"/>
        <w:tabs>
          <w:tab w:val="left" w:pos="360"/>
        </w:tabs>
        <w:ind w:left="360" w:hanging="360"/>
        <w:rPr>
          <w:lang w:val="en-GB"/>
        </w:rPr>
      </w:pPr>
    </w:p>
    <w:p w:rsidR="007C65E0" w:rsidRPr="00A5537A" w:rsidRDefault="007C65E0" w:rsidP="00EC64DD">
      <w:pPr>
        <w:numPr>
          <w:ilvl w:val="0"/>
          <w:numId w:val="2"/>
        </w:numPr>
        <w:tabs>
          <w:tab w:val="left" w:pos="360"/>
        </w:tabs>
        <w:suppressAutoHyphens/>
        <w:autoSpaceDE w:val="0"/>
        <w:ind w:left="360" w:hanging="360"/>
        <w:jc w:val="both"/>
        <w:rPr>
          <w:b/>
          <w:bCs/>
          <w:lang w:val="en-GB"/>
        </w:rPr>
      </w:pPr>
      <w:r w:rsidRPr="00A5537A">
        <w:rPr>
          <w:b/>
          <w:bCs/>
          <w:lang w:val="en-GB"/>
        </w:rPr>
        <w:t>THE FACTS</w:t>
      </w:r>
    </w:p>
    <w:p w:rsidR="005B71F4" w:rsidRPr="002862F4" w:rsidRDefault="005B71F4" w:rsidP="00EC64DD">
      <w:pPr>
        <w:tabs>
          <w:tab w:val="left" w:pos="360"/>
        </w:tabs>
        <w:autoSpaceDE w:val="0"/>
        <w:ind w:left="360" w:hanging="360"/>
        <w:jc w:val="both"/>
        <w:rPr>
          <w:b/>
          <w:bCs/>
        </w:rPr>
      </w:pPr>
    </w:p>
    <w:p w:rsidR="005B71F4" w:rsidRPr="00A5537A" w:rsidRDefault="005B71F4" w:rsidP="00EC64DD">
      <w:pPr>
        <w:numPr>
          <w:ilvl w:val="0"/>
          <w:numId w:val="15"/>
        </w:numPr>
        <w:tabs>
          <w:tab w:val="left" w:pos="360"/>
        </w:tabs>
        <w:contextualSpacing/>
        <w:jc w:val="both"/>
        <w:rPr>
          <w:b/>
          <w:lang w:val="en-GB"/>
        </w:rPr>
      </w:pPr>
      <w:r w:rsidRPr="00A5537A">
        <w:rPr>
          <w:b/>
          <w:lang w:val="en-GB"/>
        </w:rPr>
        <w:t>General background</w:t>
      </w:r>
      <w:r w:rsidRPr="00A5537A">
        <w:rPr>
          <w:rStyle w:val="FootnoteReference"/>
          <w:b/>
          <w:lang w:val="en-GB"/>
        </w:rPr>
        <w:footnoteReference w:id="2"/>
      </w:r>
      <w:r w:rsidRPr="00A5537A">
        <w:rPr>
          <w:b/>
          <w:lang w:val="en-GB"/>
        </w:rPr>
        <w:t xml:space="preserve"> </w:t>
      </w:r>
    </w:p>
    <w:p w:rsidR="005B71F4" w:rsidRPr="00A5537A" w:rsidRDefault="005B71F4" w:rsidP="00EC64DD">
      <w:pPr>
        <w:tabs>
          <w:tab w:val="left" w:pos="360"/>
        </w:tabs>
        <w:ind w:left="360" w:hanging="360"/>
        <w:contextualSpacing/>
        <w:jc w:val="both"/>
        <w:rPr>
          <w:b/>
          <w:lang w:val="en-GB"/>
        </w:rPr>
      </w:pPr>
    </w:p>
    <w:p w:rsidR="005B71F4" w:rsidRPr="00A5537A" w:rsidRDefault="005B71F4" w:rsidP="00EC64DD">
      <w:pPr>
        <w:widowControl w:val="0"/>
        <w:numPr>
          <w:ilvl w:val="0"/>
          <w:numId w:val="5"/>
        </w:numPr>
        <w:tabs>
          <w:tab w:val="left" w:pos="360"/>
          <w:tab w:val="left" w:pos="1080"/>
        </w:tabs>
        <w:suppressAutoHyphens/>
        <w:ind w:left="360"/>
        <w:jc w:val="both"/>
        <w:rPr>
          <w:lang w:val="en-GB"/>
        </w:rPr>
      </w:pPr>
      <w:r w:rsidRPr="00A5537A">
        <w:rPr>
          <w:lang w:val="en-GB"/>
        </w:rPr>
        <w:t xml:space="preserve">The events at issue took place in the territory of Kosovo after the establishment of the United Nations Interim Administration Mission in Kosovo (UNMIK), in June 1999. </w:t>
      </w:r>
    </w:p>
    <w:p w:rsidR="005B71F4" w:rsidRPr="00A5537A" w:rsidRDefault="005B71F4" w:rsidP="00EC64DD">
      <w:pPr>
        <w:tabs>
          <w:tab w:val="left" w:pos="360"/>
        </w:tabs>
        <w:ind w:left="360" w:hanging="360"/>
        <w:jc w:val="both"/>
        <w:rPr>
          <w:lang w:val="en-GB"/>
        </w:rPr>
      </w:pPr>
    </w:p>
    <w:p w:rsidR="005B71F4" w:rsidRPr="00A5537A" w:rsidRDefault="005B71F4" w:rsidP="00EC64DD">
      <w:pPr>
        <w:widowControl w:val="0"/>
        <w:numPr>
          <w:ilvl w:val="0"/>
          <w:numId w:val="5"/>
        </w:numPr>
        <w:tabs>
          <w:tab w:val="left" w:pos="360"/>
          <w:tab w:val="left" w:pos="1080"/>
        </w:tabs>
        <w:suppressAutoHyphens/>
        <w:ind w:left="360"/>
        <w:jc w:val="both"/>
        <w:rPr>
          <w:lang w:val="en-GB"/>
        </w:rPr>
      </w:pPr>
      <w:r w:rsidRPr="00A5537A">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5B71F4" w:rsidRPr="00A5537A" w:rsidRDefault="005B71F4" w:rsidP="00EC64DD">
      <w:pPr>
        <w:tabs>
          <w:tab w:val="left" w:pos="360"/>
        </w:tabs>
        <w:ind w:left="360" w:hanging="360"/>
        <w:jc w:val="both"/>
        <w:rPr>
          <w:lang w:val="en-GB"/>
        </w:rPr>
      </w:pPr>
    </w:p>
    <w:p w:rsidR="005B71F4" w:rsidRPr="00A5537A" w:rsidRDefault="005B71F4" w:rsidP="00EC64DD">
      <w:pPr>
        <w:pStyle w:val="ListParagraph"/>
        <w:numPr>
          <w:ilvl w:val="0"/>
          <w:numId w:val="5"/>
        </w:numPr>
        <w:tabs>
          <w:tab w:val="left" w:pos="360"/>
        </w:tabs>
        <w:suppressAutoHyphens w:val="0"/>
        <w:ind w:left="360"/>
        <w:contextualSpacing/>
        <w:jc w:val="both"/>
        <w:rPr>
          <w:lang w:val="en-GB"/>
        </w:rPr>
      </w:pPr>
      <w:r w:rsidRPr="00A5537A">
        <w:rPr>
          <w:lang w:val="en-GB"/>
        </w:rPr>
        <w:t xml:space="preserve"> 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w:t>
      </w:r>
      <w:r w:rsidR="00C81172" w:rsidRPr="00A5537A">
        <w:rPr>
          <w:lang w:val="en-GB"/>
        </w:rPr>
        <w:t>ity Council Resolution No. 1244 (</w:t>
      </w:r>
      <w:r w:rsidRPr="00A5537A">
        <w:rPr>
          <w:lang w:val="en-GB"/>
        </w:rPr>
        <w:t>1999</w:t>
      </w:r>
      <w:r w:rsidR="00C81172" w:rsidRPr="00A5537A">
        <w:rPr>
          <w:lang w:val="en-GB"/>
        </w:rPr>
        <w:t>)</w:t>
      </w:r>
      <w:r w:rsidRPr="00A5537A">
        <w:rPr>
          <w:lang w:val="en-GB"/>
        </w:rPr>
        <w:t>,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5B71F4" w:rsidRPr="00A5537A" w:rsidRDefault="005B71F4" w:rsidP="00EC64DD">
      <w:pPr>
        <w:tabs>
          <w:tab w:val="left" w:pos="360"/>
        </w:tabs>
        <w:ind w:left="360" w:hanging="360"/>
        <w:jc w:val="both"/>
        <w:rPr>
          <w:lang w:val="en-GB"/>
        </w:rPr>
      </w:pPr>
    </w:p>
    <w:p w:rsidR="005B71F4" w:rsidRPr="00A5537A" w:rsidRDefault="005B71F4" w:rsidP="00EC64DD">
      <w:pPr>
        <w:pStyle w:val="ListParagraph"/>
        <w:numPr>
          <w:ilvl w:val="0"/>
          <w:numId w:val="5"/>
        </w:numPr>
        <w:tabs>
          <w:tab w:val="left" w:pos="360"/>
        </w:tabs>
        <w:suppressAutoHyphens w:val="0"/>
        <w:ind w:left="360"/>
        <w:contextualSpacing/>
        <w:jc w:val="both"/>
        <w:rPr>
          <w:lang w:val="en-GB"/>
        </w:rPr>
      </w:pPr>
      <w:r w:rsidRPr="00A5537A">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5B71F4" w:rsidRPr="00A5537A" w:rsidRDefault="005B71F4" w:rsidP="00EC64DD">
      <w:pPr>
        <w:pStyle w:val="ListParagraph"/>
        <w:tabs>
          <w:tab w:val="left" w:pos="360"/>
        </w:tabs>
        <w:ind w:left="360" w:hanging="360"/>
        <w:rPr>
          <w:lang w:val="en-GB"/>
        </w:rPr>
      </w:pPr>
    </w:p>
    <w:p w:rsidR="005B71F4" w:rsidRPr="00A5537A" w:rsidRDefault="005B71F4" w:rsidP="00EC64DD">
      <w:pPr>
        <w:pStyle w:val="ListParagraph"/>
        <w:numPr>
          <w:ilvl w:val="0"/>
          <w:numId w:val="5"/>
        </w:numPr>
        <w:tabs>
          <w:tab w:val="left" w:pos="360"/>
        </w:tabs>
        <w:suppressAutoHyphens w:val="0"/>
        <w:ind w:left="360"/>
        <w:contextualSpacing/>
        <w:jc w:val="both"/>
        <w:rPr>
          <w:lang w:val="en-GB"/>
        </w:rPr>
      </w:pPr>
      <w:r w:rsidRPr="00A5537A">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5B71F4" w:rsidRPr="00A5537A" w:rsidRDefault="005B71F4" w:rsidP="00EC64DD">
      <w:pPr>
        <w:pStyle w:val="ListParagraph"/>
        <w:tabs>
          <w:tab w:val="left" w:pos="360"/>
        </w:tabs>
        <w:ind w:left="360" w:hanging="360"/>
        <w:rPr>
          <w:lang w:val="en-GB"/>
        </w:rPr>
      </w:pPr>
    </w:p>
    <w:p w:rsidR="005B71F4" w:rsidRPr="00A5537A" w:rsidRDefault="005B71F4" w:rsidP="00EC64DD">
      <w:pPr>
        <w:pStyle w:val="ListParagraph"/>
        <w:numPr>
          <w:ilvl w:val="0"/>
          <w:numId w:val="5"/>
        </w:numPr>
        <w:tabs>
          <w:tab w:val="left" w:pos="360"/>
        </w:tabs>
        <w:suppressAutoHyphens w:val="0"/>
        <w:ind w:left="360"/>
        <w:contextualSpacing/>
        <w:jc w:val="both"/>
        <w:rPr>
          <w:lang w:val="en-GB"/>
        </w:rPr>
      </w:pPr>
      <w:r w:rsidRPr="00A5537A">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w:t>
      </w:r>
      <w:r w:rsidR="006C7219" w:rsidRPr="00A5537A">
        <w:rPr>
          <w:lang w:val="en-GB"/>
        </w:rPr>
        <w:t xml:space="preserve">International Committee </w:t>
      </w:r>
      <w:r w:rsidR="006C7219" w:rsidRPr="00A5537A">
        <w:t>of the Red Cross</w:t>
      </w:r>
      <w:r w:rsidR="006C7219" w:rsidRPr="00A5537A">
        <w:rPr>
          <w:lang w:val="en-GB"/>
        </w:rPr>
        <w:t xml:space="preserve"> (</w:t>
      </w:r>
      <w:r w:rsidRPr="00A5537A">
        <w:rPr>
          <w:lang w:val="en-GB"/>
        </w:rPr>
        <w:t>ICRC</w:t>
      </w:r>
      <w:r w:rsidR="006C7219" w:rsidRPr="00A5537A">
        <w:rPr>
          <w:lang w:val="en-GB"/>
        </w:rPr>
        <w:t>)</w:t>
      </w:r>
      <w:r w:rsidRPr="00A5537A">
        <w:rPr>
          <w:lang w:val="en-GB"/>
        </w:rPr>
        <w:t xml:space="preserve"> as of October 2012.</w:t>
      </w:r>
    </w:p>
    <w:p w:rsidR="005B71F4" w:rsidRPr="00A5537A" w:rsidRDefault="005B71F4" w:rsidP="00EC64DD">
      <w:pPr>
        <w:tabs>
          <w:tab w:val="left" w:pos="360"/>
        </w:tabs>
        <w:ind w:left="360" w:hanging="360"/>
        <w:jc w:val="both"/>
        <w:rPr>
          <w:lang w:val="en-GB"/>
        </w:rPr>
      </w:pPr>
    </w:p>
    <w:p w:rsidR="005B71F4" w:rsidRPr="00A5537A" w:rsidRDefault="005B71F4" w:rsidP="00EC64DD">
      <w:pPr>
        <w:numPr>
          <w:ilvl w:val="0"/>
          <w:numId w:val="5"/>
        </w:numPr>
        <w:tabs>
          <w:tab w:val="left" w:pos="360"/>
        </w:tabs>
        <w:ind w:left="360"/>
        <w:jc w:val="both"/>
        <w:rPr>
          <w:lang w:val="en-GB"/>
        </w:rPr>
      </w:pPr>
      <w:r w:rsidRPr="00A5537A">
        <w:rPr>
          <w:lang w:val="en-GB"/>
        </w:rPr>
        <w:t>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w:t>
      </w:r>
      <w:r w:rsidR="006906A3" w:rsidRPr="00A5537A">
        <w:t xml:space="preserve"> By September 1999, approximately 1,100 international police officers had been deployed to UNMIK.  </w:t>
      </w:r>
    </w:p>
    <w:p w:rsidR="005B71F4" w:rsidRPr="00A5537A" w:rsidRDefault="005B71F4" w:rsidP="00EC64DD">
      <w:pPr>
        <w:pStyle w:val="ListParagraph"/>
        <w:tabs>
          <w:tab w:val="left" w:pos="360"/>
        </w:tabs>
        <w:ind w:left="360" w:hanging="360"/>
        <w:rPr>
          <w:lang w:val="en-GB"/>
        </w:rPr>
      </w:pPr>
    </w:p>
    <w:p w:rsidR="005B71F4" w:rsidRPr="00A5537A" w:rsidRDefault="005B71F4" w:rsidP="00EC64DD">
      <w:pPr>
        <w:numPr>
          <w:ilvl w:val="0"/>
          <w:numId w:val="5"/>
        </w:numPr>
        <w:tabs>
          <w:tab w:val="left" w:pos="360"/>
        </w:tabs>
        <w:ind w:left="360"/>
        <w:jc w:val="both"/>
        <w:rPr>
          <w:lang w:val="en-GB"/>
        </w:rPr>
      </w:pPr>
      <w:bookmarkStart w:id="0" w:name="_Ref346725038"/>
      <w:r w:rsidRPr="00A5537A">
        <w:rPr>
          <w:lang w:val="en-GB"/>
        </w:rPr>
        <w:t xml:space="preserve">By December 2000, the deployment of UNMIK Police was almost complete with 4,400 personnel from 53 different countries, and UNMIK had assumed primacy in law enforcement responsibility in all regions of Kosovo except for </w:t>
      </w:r>
      <w:proofErr w:type="spellStart"/>
      <w:r w:rsidRPr="00A5537A">
        <w:rPr>
          <w:lang w:val="en-GB"/>
        </w:rPr>
        <w:t>Mitrovicë</w:t>
      </w:r>
      <w:proofErr w:type="spellEnd"/>
      <w:r w:rsidRPr="00A5537A">
        <w:rPr>
          <w:lang w:val="en-GB"/>
        </w:rPr>
        <w:t>/</w:t>
      </w:r>
      <w:proofErr w:type="spellStart"/>
      <w:r w:rsidRPr="00A5537A">
        <w:rPr>
          <w:lang w:val="en-GB"/>
        </w:rPr>
        <w:t>Mitrovica</w:t>
      </w:r>
      <w:proofErr w:type="spellEnd"/>
      <w:r w:rsidRPr="00A5537A">
        <w:rPr>
          <w:lang w:val="en-GB"/>
        </w:rPr>
        <w:t xml:space="preserve">. According to the </w:t>
      </w:r>
      <w:r w:rsidR="00C81172" w:rsidRPr="00A5537A">
        <w:rPr>
          <w:lang w:val="en-GB"/>
        </w:rPr>
        <w:t>2000</w:t>
      </w:r>
      <w:r w:rsidRPr="00A5537A">
        <w:rPr>
          <w:lang w:val="en-GB"/>
        </w:rPr>
        <w:t xml:space="preserve"> Annual Report of UNMIK Police, 351 kidnappings, 675 murders and 115 rapes had been reported to them in the period between June 1999 and December 2000.</w:t>
      </w:r>
      <w:bookmarkEnd w:id="0"/>
      <w:r w:rsidRPr="00A5537A">
        <w:rPr>
          <w:lang w:val="en-GB"/>
        </w:rPr>
        <w:t xml:space="preserve"> </w:t>
      </w:r>
    </w:p>
    <w:p w:rsidR="005B71F4" w:rsidRPr="00A5537A" w:rsidRDefault="005B71F4" w:rsidP="00EC64DD">
      <w:pPr>
        <w:tabs>
          <w:tab w:val="left" w:pos="360"/>
        </w:tabs>
        <w:ind w:left="360" w:hanging="360"/>
        <w:jc w:val="both"/>
        <w:rPr>
          <w:lang w:val="en-GB"/>
        </w:rPr>
      </w:pPr>
    </w:p>
    <w:p w:rsidR="005B71F4" w:rsidRPr="00A5537A" w:rsidRDefault="005B71F4" w:rsidP="00EC64DD">
      <w:pPr>
        <w:numPr>
          <w:ilvl w:val="0"/>
          <w:numId w:val="5"/>
        </w:numPr>
        <w:tabs>
          <w:tab w:val="left" w:pos="360"/>
        </w:tabs>
        <w:ind w:left="360"/>
        <w:jc w:val="both"/>
        <w:rPr>
          <w:lang w:val="en-GB"/>
        </w:rPr>
      </w:pPr>
      <w:bookmarkStart w:id="1" w:name="_Ref346123767"/>
      <w:r w:rsidRPr="00A5537A">
        <w:rPr>
          <w:lang w:val="en-GB"/>
        </w:rPr>
        <w:t xml:space="preserve">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w:t>
      </w:r>
      <w:proofErr w:type="spellStart"/>
      <w:r w:rsidRPr="00A5537A">
        <w:rPr>
          <w:lang w:val="en-GB"/>
        </w:rPr>
        <w:t>Mitrovicë</w:t>
      </w:r>
      <w:proofErr w:type="spellEnd"/>
      <w:r w:rsidRPr="00A5537A">
        <w:rPr>
          <w:lang w:val="en-GB"/>
        </w:rPr>
        <w:t>/</w:t>
      </w:r>
      <w:proofErr w:type="spellStart"/>
      <w:r w:rsidRPr="00A5537A">
        <w:rPr>
          <w:lang w:val="en-GB"/>
        </w:rPr>
        <w:t>Mitrovica</w:t>
      </w:r>
      <w:proofErr w:type="spellEnd"/>
      <w:r w:rsidRPr="00A5537A">
        <w:rPr>
          <w:lang w:val="en-GB"/>
        </w:rPr>
        <w:t xml:space="preserve">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1"/>
      <w:r w:rsidRPr="00A5537A">
        <w:rPr>
          <w:lang w:val="en-GB"/>
        </w:rPr>
        <w:t xml:space="preserve"> </w:t>
      </w:r>
    </w:p>
    <w:p w:rsidR="005B71F4" w:rsidRPr="00A5537A" w:rsidRDefault="005B71F4" w:rsidP="00EC64DD">
      <w:pPr>
        <w:tabs>
          <w:tab w:val="left" w:pos="360"/>
        </w:tabs>
        <w:ind w:left="360" w:hanging="360"/>
        <w:jc w:val="both"/>
        <w:rPr>
          <w:lang w:val="en-GB"/>
        </w:rPr>
      </w:pPr>
    </w:p>
    <w:p w:rsidR="005B71F4" w:rsidRPr="00A5537A" w:rsidRDefault="005B71F4" w:rsidP="00EC64DD">
      <w:pPr>
        <w:numPr>
          <w:ilvl w:val="0"/>
          <w:numId w:val="5"/>
        </w:numPr>
        <w:tabs>
          <w:tab w:val="left" w:pos="360"/>
        </w:tabs>
        <w:ind w:left="360"/>
        <w:jc w:val="both"/>
        <w:rPr>
          <w:lang w:val="en-GB"/>
        </w:rPr>
      </w:pPr>
      <w:bookmarkStart w:id="2" w:name="_Ref346725040"/>
      <w:r w:rsidRPr="00A5537A">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A5537A">
        <w:rPr>
          <w:lang w:val="en-GB"/>
        </w:rPr>
        <w:t>persons</w:t>
      </w:r>
      <w:proofErr w:type="gramEnd"/>
      <w:r w:rsidRPr="00A5537A">
        <w:rPr>
          <w:lang w:val="en-GB"/>
        </w:rPr>
        <w:t xml:space="preserve"> cases in Kosovo. In May 2000, a Victim Recovery and Identification Commission (VRIC) chaired by UNMIK </w:t>
      </w:r>
      <w:proofErr w:type="gramStart"/>
      <w:r w:rsidRPr="00A5537A">
        <w:rPr>
          <w:lang w:val="en-GB"/>
        </w:rPr>
        <w:t>was</w:t>
      </w:r>
      <w:proofErr w:type="gramEnd"/>
      <w:r w:rsidRPr="00A5537A">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A5537A">
        <w:rPr>
          <w:lang w:val="en-GB"/>
        </w:rPr>
        <w:t>persons,</w:t>
      </w:r>
      <w:proofErr w:type="gramEnd"/>
      <w:r w:rsidRPr="00A5537A">
        <w:rPr>
          <w:lang w:val="en-GB"/>
        </w:rPr>
        <w:t xml:space="preserve"> identify their mortal remains and return them to the family of the missing. Starting from 2001, based on a Memorandum of Understanding (</w:t>
      </w:r>
      <w:proofErr w:type="spellStart"/>
      <w:r w:rsidRPr="00A5537A">
        <w:rPr>
          <w:lang w:val="en-GB"/>
        </w:rPr>
        <w:t>MoU</w:t>
      </w:r>
      <w:proofErr w:type="spellEnd"/>
      <w:r w:rsidRPr="00A5537A">
        <w:rPr>
          <w:lang w:val="en-GB"/>
        </w:rPr>
        <w:t>) between UNMIK and the Sarajevo-based International Commission of Missing Persons (ICMP), supplemented by a further agreement in 2003, the identification of mortal remains was carried out by the ICMP through DNA testing.</w:t>
      </w:r>
      <w:bookmarkEnd w:id="2"/>
      <w:r w:rsidRPr="00A5537A">
        <w:rPr>
          <w:lang w:val="en-GB"/>
        </w:rPr>
        <w:t xml:space="preserve"> </w:t>
      </w:r>
    </w:p>
    <w:p w:rsidR="005B71F4" w:rsidRPr="00A5537A" w:rsidRDefault="005B71F4" w:rsidP="00EC64DD">
      <w:pPr>
        <w:tabs>
          <w:tab w:val="left" w:pos="360"/>
        </w:tabs>
        <w:ind w:left="360" w:hanging="360"/>
        <w:jc w:val="both"/>
        <w:rPr>
          <w:lang w:val="en-GB"/>
        </w:rPr>
      </w:pPr>
    </w:p>
    <w:p w:rsidR="005B71F4" w:rsidRPr="00A5537A" w:rsidRDefault="005B71F4" w:rsidP="00EC64DD">
      <w:pPr>
        <w:numPr>
          <w:ilvl w:val="0"/>
          <w:numId w:val="5"/>
        </w:numPr>
        <w:tabs>
          <w:tab w:val="left" w:pos="360"/>
        </w:tabs>
        <w:ind w:left="360"/>
        <w:jc w:val="both"/>
        <w:rPr>
          <w:lang w:val="en-GB"/>
        </w:rPr>
      </w:pPr>
      <w:bookmarkStart w:id="3" w:name="_Ref346123927"/>
      <w:r w:rsidRPr="00A5537A">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3"/>
    </w:p>
    <w:p w:rsidR="005B71F4" w:rsidRPr="00A5537A" w:rsidRDefault="005B71F4" w:rsidP="00EC64DD">
      <w:pPr>
        <w:pStyle w:val="ListParagraph"/>
        <w:tabs>
          <w:tab w:val="left" w:pos="360"/>
        </w:tabs>
        <w:ind w:left="360" w:hanging="360"/>
        <w:rPr>
          <w:lang w:val="en-GB"/>
        </w:rPr>
      </w:pPr>
    </w:p>
    <w:p w:rsidR="005B71F4" w:rsidRPr="00A5537A" w:rsidRDefault="005B71F4" w:rsidP="00EC64DD">
      <w:pPr>
        <w:numPr>
          <w:ilvl w:val="0"/>
          <w:numId w:val="5"/>
        </w:numPr>
        <w:tabs>
          <w:tab w:val="left" w:pos="360"/>
        </w:tabs>
        <w:ind w:left="360"/>
        <w:jc w:val="both"/>
        <w:rPr>
          <w:lang w:val="en-GB"/>
        </w:rPr>
      </w:pPr>
      <w:bookmarkStart w:id="4" w:name="_Ref346123928"/>
      <w:r w:rsidRPr="00A5537A">
        <w:rPr>
          <w:lang w:val="en-GB"/>
        </w:rPr>
        <w:t xml:space="preserve">On the same date, UNMIK and EULEX signed a </w:t>
      </w:r>
      <w:proofErr w:type="spellStart"/>
      <w:r w:rsidRPr="00A5537A">
        <w:rPr>
          <w:lang w:val="en-GB"/>
        </w:rPr>
        <w:t>MoU</w:t>
      </w:r>
      <w:proofErr w:type="spellEnd"/>
      <w:r w:rsidRPr="00A5537A">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bookmarkEnd w:id="4"/>
    </w:p>
    <w:p w:rsidR="00D65E11" w:rsidRPr="00A5537A" w:rsidRDefault="00D65E11" w:rsidP="00EC64DD">
      <w:pPr>
        <w:widowControl w:val="0"/>
        <w:tabs>
          <w:tab w:val="left" w:pos="360"/>
          <w:tab w:val="left" w:pos="1080"/>
        </w:tabs>
        <w:suppressAutoHyphens/>
        <w:ind w:left="360" w:hanging="360"/>
        <w:jc w:val="both"/>
        <w:rPr>
          <w:lang w:val="en-GB"/>
        </w:rPr>
      </w:pPr>
    </w:p>
    <w:p w:rsidR="00D65E11" w:rsidRPr="00A5537A" w:rsidRDefault="00D65E11" w:rsidP="00EC64DD">
      <w:pPr>
        <w:numPr>
          <w:ilvl w:val="0"/>
          <w:numId w:val="15"/>
        </w:numPr>
        <w:tabs>
          <w:tab w:val="left" w:pos="360"/>
        </w:tabs>
        <w:contextualSpacing/>
        <w:jc w:val="both"/>
        <w:rPr>
          <w:b/>
        </w:rPr>
      </w:pPr>
      <w:r w:rsidRPr="00A5537A">
        <w:rPr>
          <w:b/>
        </w:rPr>
        <w:t xml:space="preserve">Circumstances surrounding the </w:t>
      </w:r>
      <w:r w:rsidR="0087512A">
        <w:rPr>
          <w:b/>
        </w:rPr>
        <w:t xml:space="preserve">abduction </w:t>
      </w:r>
      <w:r w:rsidRPr="00A5537A">
        <w:rPr>
          <w:b/>
        </w:rPr>
        <w:t xml:space="preserve">and </w:t>
      </w:r>
      <w:r w:rsidR="00354AEF">
        <w:rPr>
          <w:b/>
        </w:rPr>
        <w:t>killing</w:t>
      </w:r>
      <w:r w:rsidRPr="00A5537A">
        <w:rPr>
          <w:b/>
        </w:rPr>
        <w:t xml:space="preserve"> of </w:t>
      </w:r>
      <w:proofErr w:type="spellStart"/>
      <w:r w:rsidR="00FF6F09" w:rsidRPr="00A5537A">
        <w:rPr>
          <w:b/>
        </w:rPr>
        <w:t>Mr</w:t>
      </w:r>
      <w:proofErr w:type="spellEnd"/>
      <w:r w:rsidR="00FF6F09" w:rsidRPr="00A5537A">
        <w:rPr>
          <w:b/>
        </w:rPr>
        <w:t xml:space="preserve"> </w:t>
      </w:r>
      <w:proofErr w:type="spellStart"/>
      <w:r w:rsidR="00EF7A4F">
        <w:rPr>
          <w:b/>
          <w:lang w:val="en-GB"/>
        </w:rPr>
        <w:t>Borislav</w:t>
      </w:r>
      <w:proofErr w:type="spellEnd"/>
      <w:r w:rsidR="0067077C" w:rsidRPr="0067077C">
        <w:rPr>
          <w:b/>
        </w:rPr>
        <w:t xml:space="preserve"> </w:t>
      </w:r>
      <w:proofErr w:type="spellStart"/>
      <w:r w:rsidR="00EF7A4F">
        <w:rPr>
          <w:b/>
          <w:lang w:val="en-GB"/>
        </w:rPr>
        <w:t>Pav</w:t>
      </w:r>
      <w:r w:rsidR="0067077C" w:rsidRPr="0067077C">
        <w:rPr>
          <w:b/>
          <w:lang w:val="en-GB"/>
        </w:rPr>
        <w:t>ić</w:t>
      </w:r>
      <w:proofErr w:type="spellEnd"/>
    </w:p>
    <w:p w:rsidR="001A08B0" w:rsidRPr="00A5537A" w:rsidRDefault="001A08B0" w:rsidP="00EC64DD">
      <w:pPr>
        <w:tabs>
          <w:tab w:val="left" w:pos="360"/>
        </w:tabs>
        <w:suppressAutoHyphens/>
        <w:autoSpaceDE w:val="0"/>
        <w:ind w:left="360" w:hanging="360"/>
        <w:jc w:val="both"/>
        <w:rPr>
          <w:bCs/>
          <w:lang w:val="en-GB"/>
        </w:rPr>
      </w:pPr>
    </w:p>
    <w:p w:rsidR="0087512A" w:rsidRPr="00901D6F" w:rsidRDefault="0067077C" w:rsidP="0087512A">
      <w:pPr>
        <w:widowControl w:val="0"/>
        <w:numPr>
          <w:ilvl w:val="0"/>
          <w:numId w:val="5"/>
        </w:numPr>
        <w:tabs>
          <w:tab w:val="left" w:pos="360"/>
        </w:tabs>
        <w:suppressAutoHyphens/>
        <w:ind w:left="360"/>
        <w:jc w:val="both"/>
        <w:rPr>
          <w:bCs/>
          <w:lang w:val="en-GB"/>
        </w:rPr>
      </w:pPr>
      <w:bookmarkStart w:id="5" w:name="_Ref343611698"/>
      <w:r w:rsidRPr="00901D6F">
        <w:rPr>
          <w:lang w:val="en-GB"/>
        </w:rPr>
        <w:t xml:space="preserve">The complainant is the wife of </w:t>
      </w:r>
      <w:proofErr w:type="spellStart"/>
      <w:r w:rsidR="00EF7A4F" w:rsidRPr="00901D6F">
        <w:rPr>
          <w:lang w:val="en-GB"/>
        </w:rPr>
        <w:t>Borislav</w:t>
      </w:r>
      <w:proofErr w:type="spellEnd"/>
      <w:r w:rsidR="00EF7A4F" w:rsidRPr="00901D6F">
        <w:rPr>
          <w:lang w:val="en-GB"/>
        </w:rPr>
        <w:t xml:space="preserve"> </w:t>
      </w:r>
      <w:proofErr w:type="spellStart"/>
      <w:r w:rsidR="00EF7A4F" w:rsidRPr="00901D6F">
        <w:rPr>
          <w:lang w:val="en-GB"/>
        </w:rPr>
        <w:t>Pavić</w:t>
      </w:r>
      <w:proofErr w:type="spellEnd"/>
      <w:r w:rsidRPr="00901D6F">
        <w:rPr>
          <w:lang w:val="en-GB"/>
        </w:rPr>
        <w:t xml:space="preserve">. </w:t>
      </w:r>
      <w:r w:rsidR="00A07DDA" w:rsidRPr="00901D6F">
        <w:rPr>
          <w:bCs/>
          <w:lang w:val="en-GB"/>
        </w:rPr>
        <w:t>The complain</w:t>
      </w:r>
      <w:r w:rsidR="00FF6F09" w:rsidRPr="00901D6F">
        <w:rPr>
          <w:bCs/>
          <w:lang w:val="en-GB"/>
        </w:rPr>
        <w:t xml:space="preserve">ant states that </w:t>
      </w:r>
      <w:r w:rsidR="00EF7A4F" w:rsidRPr="00901D6F">
        <w:rPr>
          <w:lang w:val="en-GB"/>
        </w:rPr>
        <w:t>on 24 July</w:t>
      </w:r>
      <w:r w:rsidRPr="00901D6F">
        <w:rPr>
          <w:lang w:val="en-GB"/>
        </w:rPr>
        <w:t xml:space="preserve"> 1999</w:t>
      </w:r>
      <w:r w:rsidR="008B4E5B" w:rsidRPr="00901D6F">
        <w:rPr>
          <w:bCs/>
          <w:lang w:val="en-GB"/>
        </w:rPr>
        <w:t xml:space="preserve">, </w:t>
      </w:r>
      <w:proofErr w:type="spellStart"/>
      <w:r w:rsidR="00EF7A4F" w:rsidRPr="00901D6F">
        <w:rPr>
          <w:lang w:val="en-GB"/>
        </w:rPr>
        <w:t>Borislav</w:t>
      </w:r>
      <w:proofErr w:type="spellEnd"/>
      <w:r w:rsidR="00EF7A4F" w:rsidRPr="00901D6F">
        <w:rPr>
          <w:lang w:val="en-GB"/>
        </w:rPr>
        <w:t xml:space="preserve"> </w:t>
      </w:r>
      <w:proofErr w:type="spellStart"/>
      <w:r w:rsidR="00EF7A4F" w:rsidRPr="00901D6F">
        <w:rPr>
          <w:lang w:val="en-GB"/>
        </w:rPr>
        <w:t>Pavić</w:t>
      </w:r>
      <w:proofErr w:type="spellEnd"/>
      <w:r w:rsidR="00EF7A4F" w:rsidRPr="00901D6F">
        <w:rPr>
          <w:lang w:val="en-GB"/>
        </w:rPr>
        <w:t xml:space="preserve"> </w:t>
      </w:r>
      <w:r w:rsidR="004E218D" w:rsidRPr="00901D6F">
        <w:rPr>
          <w:lang w:val="en-GB"/>
        </w:rPr>
        <w:t xml:space="preserve">was abducted from a market place in </w:t>
      </w:r>
      <w:proofErr w:type="spellStart"/>
      <w:r w:rsidR="004E218D" w:rsidRPr="00901D6F">
        <w:rPr>
          <w:lang w:val="en-GB"/>
        </w:rPr>
        <w:t>Gjilan</w:t>
      </w:r>
      <w:proofErr w:type="spellEnd"/>
      <w:r w:rsidR="004E218D" w:rsidRPr="00901D6F">
        <w:rPr>
          <w:lang w:val="en-GB"/>
        </w:rPr>
        <w:t>/</w:t>
      </w:r>
      <w:proofErr w:type="spellStart"/>
      <w:r w:rsidR="004E218D" w:rsidRPr="00901D6F">
        <w:rPr>
          <w:lang w:val="en-GB"/>
        </w:rPr>
        <w:t>Gnjilane</w:t>
      </w:r>
      <w:proofErr w:type="spellEnd"/>
      <w:r w:rsidR="004E218D" w:rsidRPr="00901D6F">
        <w:rPr>
          <w:lang w:val="en-GB"/>
        </w:rPr>
        <w:t>.</w:t>
      </w:r>
      <w:r w:rsidRPr="00901D6F">
        <w:rPr>
          <w:lang w:val="en-GB"/>
        </w:rPr>
        <w:t xml:space="preserve"> </w:t>
      </w:r>
      <w:bookmarkEnd w:id="5"/>
    </w:p>
    <w:p w:rsidR="004E218D" w:rsidRPr="00901D6F" w:rsidRDefault="004E218D" w:rsidP="004E218D">
      <w:pPr>
        <w:widowControl w:val="0"/>
        <w:tabs>
          <w:tab w:val="left" w:pos="360"/>
        </w:tabs>
        <w:suppressAutoHyphens/>
        <w:ind w:left="360"/>
        <w:jc w:val="both"/>
        <w:rPr>
          <w:bCs/>
          <w:lang w:val="en-GB"/>
        </w:rPr>
      </w:pPr>
    </w:p>
    <w:p w:rsidR="0087512A" w:rsidRPr="00901D6F" w:rsidRDefault="0087512A" w:rsidP="0087512A">
      <w:pPr>
        <w:numPr>
          <w:ilvl w:val="0"/>
          <w:numId w:val="5"/>
        </w:numPr>
        <w:tabs>
          <w:tab w:val="clear" w:pos="630"/>
          <w:tab w:val="num" w:pos="360"/>
        </w:tabs>
        <w:suppressAutoHyphens/>
        <w:autoSpaceDE w:val="0"/>
        <w:ind w:left="360"/>
        <w:jc w:val="both"/>
        <w:rPr>
          <w:bCs/>
          <w:lang w:val="en-GB"/>
        </w:rPr>
      </w:pPr>
      <w:bookmarkStart w:id="6" w:name="_Ref348365376"/>
      <w:r w:rsidRPr="00901D6F">
        <w:rPr>
          <w:bCs/>
          <w:lang w:val="en-GB"/>
        </w:rPr>
        <w:t xml:space="preserve">The complainant states that she reported the </w:t>
      </w:r>
      <w:r w:rsidR="00842CA9" w:rsidRPr="00901D6F">
        <w:rPr>
          <w:bCs/>
          <w:lang w:val="en-GB"/>
        </w:rPr>
        <w:t>matter to UNMIK, KFOR, the ICRC</w:t>
      </w:r>
      <w:r w:rsidR="004E218D" w:rsidRPr="00901D6F">
        <w:rPr>
          <w:bCs/>
          <w:lang w:val="en-GB"/>
        </w:rPr>
        <w:t xml:space="preserve">, the Yugoslav Red Cross and the Association of Families of Kidnapped and Missing Persons in Kosovo and </w:t>
      </w:r>
      <w:proofErr w:type="spellStart"/>
      <w:r w:rsidR="004E218D" w:rsidRPr="00901D6F">
        <w:rPr>
          <w:bCs/>
          <w:lang w:val="en-GB"/>
        </w:rPr>
        <w:t>Metohija</w:t>
      </w:r>
      <w:proofErr w:type="spellEnd"/>
      <w:r w:rsidR="004E218D" w:rsidRPr="00901D6F">
        <w:rPr>
          <w:bCs/>
          <w:lang w:val="en-GB"/>
        </w:rPr>
        <w:t xml:space="preserve">, who had forwarded the matter to the </w:t>
      </w:r>
      <w:r w:rsidR="00D023BC" w:rsidRPr="00901D6F">
        <w:rPr>
          <w:bCs/>
          <w:lang w:val="en-GB"/>
        </w:rPr>
        <w:t>“</w:t>
      </w:r>
      <w:r w:rsidR="004E218D" w:rsidRPr="00901D6F">
        <w:rPr>
          <w:bCs/>
          <w:lang w:val="en-GB"/>
        </w:rPr>
        <w:t>International Prosecutor’s Office in Kosovo</w:t>
      </w:r>
      <w:r w:rsidR="00D023BC" w:rsidRPr="00901D6F">
        <w:rPr>
          <w:bCs/>
          <w:lang w:val="en-GB"/>
        </w:rPr>
        <w:t>”</w:t>
      </w:r>
      <w:r w:rsidR="004E218D" w:rsidRPr="00901D6F">
        <w:rPr>
          <w:bCs/>
          <w:lang w:val="en-GB"/>
        </w:rPr>
        <w:t xml:space="preserve"> and the </w:t>
      </w:r>
      <w:r w:rsidR="00D023BC" w:rsidRPr="00901D6F">
        <w:rPr>
          <w:bCs/>
          <w:lang w:val="en-GB"/>
        </w:rPr>
        <w:t>“</w:t>
      </w:r>
      <w:r w:rsidR="004E218D" w:rsidRPr="00901D6F">
        <w:rPr>
          <w:bCs/>
          <w:lang w:val="en-GB"/>
        </w:rPr>
        <w:t>Special Court in Belgrade</w:t>
      </w:r>
      <w:r w:rsidR="00D023BC" w:rsidRPr="00901D6F">
        <w:rPr>
          <w:bCs/>
          <w:lang w:val="en-GB"/>
        </w:rPr>
        <w:t>”</w:t>
      </w:r>
      <w:r w:rsidR="004E218D" w:rsidRPr="00901D6F">
        <w:rPr>
          <w:bCs/>
          <w:lang w:val="en-GB"/>
        </w:rPr>
        <w:t>.</w:t>
      </w:r>
      <w:r w:rsidR="00842CA9" w:rsidRPr="00901D6F">
        <w:rPr>
          <w:bCs/>
          <w:lang w:val="en-GB"/>
        </w:rPr>
        <w:t xml:space="preserve"> </w:t>
      </w:r>
      <w:bookmarkEnd w:id="6"/>
      <w:r w:rsidR="009C0C9E" w:rsidRPr="00901D6F">
        <w:rPr>
          <w:bCs/>
          <w:lang w:val="en-GB"/>
        </w:rPr>
        <w:t>The complainant also notes that despite the fact that regular meetings were held at the UN</w:t>
      </w:r>
      <w:r w:rsidR="00BA25EA" w:rsidRPr="00901D6F">
        <w:rPr>
          <w:bCs/>
          <w:lang w:val="en-GB"/>
        </w:rPr>
        <w:t>MIK Liaison</w:t>
      </w:r>
      <w:r w:rsidR="009C0C9E" w:rsidRPr="00901D6F">
        <w:rPr>
          <w:bCs/>
          <w:lang w:val="en-GB"/>
        </w:rPr>
        <w:t xml:space="preserve"> Office in Belgrade concerning her husband’s abduction, no further information was ever provided to her in this regard.</w:t>
      </w:r>
    </w:p>
    <w:p w:rsidR="0087512A" w:rsidRPr="00901D6F" w:rsidRDefault="0087512A" w:rsidP="0087512A">
      <w:pPr>
        <w:widowControl w:val="0"/>
        <w:tabs>
          <w:tab w:val="left" w:pos="360"/>
          <w:tab w:val="left" w:pos="1080"/>
        </w:tabs>
        <w:suppressAutoHyphens/>
        <w:autoSpaceDE w:val="0"/>
        <w:jc w:val="both"/>
        <w:rPr>
          <w:bCs/>
          <w:lang w:val="en-GB"/>
        </w:rPr>
      </w:pPr>
    </w:p>
    <w:p w:rsidR="00D60B4A" w:rsidRPr="00901D6F" w:rsidRDefault="008C7DB9" w:rsidP="00D60B4A">
      <w:pPr>
        <w:widowControl w:val="0"/>
        <w:numPr>
          <w:ilvl w:val="0"/>
          <w:numId w:val="5"/>
        </w:numPr>
        <w:tabs>
          <w:tab w:val="left" w:pos="360"/>
          <w:tab w:val="left" w:pos="1080"/>
        </w:tabs>
        <w:suppressAutoHyphens/>
        <w:ind w:left="360"/>
        <w:jc w:val="both"/>
        <w:rPr>
          <w:bCs/>
          <w:lang w:val="en-GB"/>
        </w:rPr>
      </w:pPr>
      <w:bookmarkStart w:id="7" w:name="_Ref354743973"/>
      <w:r w:rsidRPr="00901D6F">
        <w:rPr>
          <w:bCs/>
          <w:lang w:val="en-GB"/>
        </w:rPr>
        <w:t xml:space="preserve">The name of </w:t>
      </w:r>
      <w:proofErr w:type="spellStart"/>
      <w:r w:rsidR="009C0C9E" w:rsidRPr="00901D6F">
        <w:rPr>
          <w:lang w:val="en-GB"/>
        </w:rPr>
        <w:t>Borislav</w:t>
      </w:r>
      <w:proofErr w:type="spellEnd"/>
      <w:r w:rsidR="009C0C9E" w:rsidRPr="00901D6F">
        <w:rPr>
          <w:lang w:val="en-GB"/>
        </w:rPr>
        <w:t xml:space="preserve"> </w:t>
      </w:r>
      <w:proofErr w:type="spellStart"/>
      <w:r w:rsidR="009C0C9E" w:rsidRPr="00901D6F">
        <w:rPr>
          <w:lang w:val="en-GB"/>
        </w:rPr>
        <w:t>Pavić</w:t>
      </w:r>
      <w:proofErr w:type="spellEnd"/>
      <w:r w:rsidR="009C0C9E" w:rsidRPr="00901D6F">
        <w:rPr>
          <w:bCs/>
          <w:lang w:val="en-GB"/>
        </w:rPr>
        <w:t xml:space="preserve"> </w:t>
      </w:r>
      <w:r w:rsidRPr="00901D6F">
        <w:rPr>
          <w:bCs/>
          <w:lang w:val="en-GB"/>
        </w:rPr>
        <w:t xml:space="preserve">appears in the </w:t>
      </w:r>
      <w:r w:rsidR="00EC478A" w:rsidRPr="00901D6F">
        <w:rPr>
          <w:bCs/>
          <w:lang w:val="en-GB"/>
        </w:rPr>
        <w:t xml:space="preserve">database compiled </w:t>
      </w:r>
      <w:r w:rsidRPr="00901D6F">
        <w:rPr>
          <w:bCs/>
          <w:lang w:val="en-GB"/>
        </w:rPr>
        <w:t xml:space="preserve">by the UNMIK </w:t>
      </w:r>
      <w:r w:rsidR="00570D6A" w:rsidRPr="00901D6F">
        <w:rPr>
          <w:bCs/>
          <w:lang w:val="en-GB"/>
        </w:rPr>
        <w:t>OMPF</w:t>
      </w:r>
      <w:r w:rsidR="00EC478A" w:rsidRPr="00901D6F">
        <w:rPr>
          <w:bCs/>
          <w:lang w:val="en-GB"/>
        </w:rPr>
        <w:t>.</w:t>
      </w:r>
      <w:r w:rsidR="0087512A" w:rsidRPr="00901D6F">
        <w:rPr>
          <w:bCs/>
          <w:lang w:val="en-GB"/>
        </w:rPr>
        <w:t xml:space="preserve"> Likewise, </w:t>
      </w:r>
      <w:r w:rsidR="0087512A" w:rsidRPr="00901D6F">
        <w:t>his name appears in two lists of missing persons communicated by the ICRC to UNMIK Police on 12 October 2001 and 11 February 2002 respectively.</w:t>
      </w:r>
      <w:r w:rsidR="00EC478A" w:rsidRPr="00901D6F">
        <w:rPr>
          <w:bCs/>
          <w:lang w:val="en-GB"/>
        </w:rPr>
        <w:t xml:space="preserve"> The </w:t>
      </w:r>
      <w:r w:rsidR="00056A99" w:rsidRPr="00901D6F">
        <w:rPr>
          <w:bCs/>
          <w:lang w:val="en-GB"/>
        </w:rPr>
        <w:t xml:space="preserve">entry </w:t>
      </w:r>
      <w:r w:rsidR="00EC478A" w:rsidRPr="00901D6F">
        <w:rPr>
          <w:bCs/>
          <w:lang w:val="en-GB"/>
        </w:rPr>
        <w:t xml:space="preserve">in the </w:t>
      </w:r>
      <w:r w:rsidRPr="00901D6F">
        <w:rPr>
          <w:bCs/>
          <w:lang w:val="en-GB"/>
        </w:rPr>
        <w:t>online list of missing</w:t>
      </w:r>
      <w:r w:rsidR="00EC478A" w:rsidRPr="00901D6F">
        <w:rPr>
          <w:bCs/>
          <w:lang w:val="en-GB"/>
        </w:rPr>
        <w:t xml:space="preserve"> persons maintained by the </w:t>
      </w:r>
      <w:r w:rsidR="00570D6A" w:rsidRPr="00901D6F">
        <w:rPr>
          <w:bCs/>
          <w:lang w:val="en-GB"/>
        </w:rPr>
        <w:t>ICMP</w:t>
      </w:r>
      <w:r w:rsidR="009D6992" w:rsidRPr="00901D6F">
        <w:rPr>
          <w:rStyle w:val="FootnoteReference"/>
          <w:color w:val="464646"/>
        </w:rPr>
        <w:footnoteReference w:id="3"/>
      </w:r>
      <w:r w:rsidR="00EC478A" w:rsidRPr="00901D6F">
        <w:rPr>
          <w:bCs/>
          <w:lang w:val="en-GB"/>
        </w:rPr>
        <w:t xml:space="preserve"> with regard to </w:t>
      </w:r>
      <w:proofErr w:type="spellStart"/>
      <w:r w:rsidR="00A3345D" w:rsidRPr="00901D6F">
        <w:rPr>
          <w:lang w:val="en-GB"/>
        </w:rPr>
        <w:t>Borislav</w:t>
      </w:r>
      <w:proofErr w:type="spellEnd"/>
      <w:r w:rsidR="00A3345D" w:rsidRPr="00901D6F">
        <w:rPr>
          <w:lang w:val="en-GB"/>
        </w:rPr>
        <w:t xml:space="preserve"> </w:t>
      </w:r>
      <w:proofErr w:type="spellStart"/>
      <w:r w:rsidR="00A3345D" w:rsidRPr="00901D6F">
        <w:rPr>
          <w:lang w:val="en-GB"/>
        </w:rPr>
        <w:t>Pavić</w:t>
      </w:r>
      <w:proofErr w:type="spellEnd"/>
      <w:r w:rsidR="00A3345D" w:rsidRPr="00901D6F">
        <w:rPr>
          <w:bCs/>
          <w:lang w:val="en-GB"/>
        </w:rPr>
        <w:t xml:space="preserve"> </w:t>
      </w:r>
      <w:r w:rsidR="00EC478A" w:rsidRPr="00901D6F">
        <w:rPr>
          <w:bCs/>
          <w:lang w:val="en-GB"/>
        </w:rPr>
        <w:t>reads, in relevant parts: “sufficient reference samples collected” and “ICMP has provided informat</w:t>
      </w:r>
      <w:r w:rsidR="0067077C" w:rsidRPr="00901D6F">
        <w:rPr>
          <w:bCs/>
          <w:lang w:val="en-GB"/>
        </w:rPr>
        <w:t>ion on this mi</w:t>
      </w:r>
      <w:r w:rsidR="00A3345D" w:rsidRPr="00901D6F">
        <w:rPr>
          <w:bCs/>
          <w:lang w:val="en-GB"/>
        </w:rPr>
        <w:t>ssing person on 12-09-</w:t>
      </w:r>
      <w:r w:rsidR="0067077C" w:rsidRPr="00901D6F">
        <w:rPr>
          <w:bCs/>
          <w:lang w:val="en-GB"/>
        </w:rPr>
        <w:t>2002</w:t>
      </w:r>
      <w:r w:rsidR="00EC478A" w:rsidRPr="00901D6F">
        <w:rPr>
          <w:bCs/>
          <w:lang w:val="en-GB"/>
        </w:rPr>
        <w:t xml:space="preserve"> to authorized institution. To obtain additional information, contact EULEX Kosovo Headquarters</w:t>
      </w:r>
      <w:r w:rsidR="00BA50EA" w:rsidRPr="00901D6F">
        <w:rPr>
          <w:color w:val="464646"/>
        </w:rPr>
        <w:t>.</w:t>
      </w:r>
      <w:r w:rsidR="00B712F3" w:rsidRPr="00901D6F">
        <w:rPr>
          <w:color w:val="464646"/>
        </w:rPr>
        <w:t>”</w:t>
      </w:r>
      <w:bookmarkEnd w:id="7"/>
    </w:p>
    <w:p w:rsidR="00D60B4A" w:rsidRPr="00901D6F" w:rsidRDefault="00D60B4A" w:rsidP="00D60B4A">
      <w:pPr>
        <w:widowControl w:val="0"/>
        <w:tabs>
          <w:tab w:val="left" w:pos="360"/>
          <w:tab w:val="left" w:pos="1080"/>
        </w:tabs>
        <w:suppressAutoHyphens/>
        <w:ind w:left="360"/>
        <w:jc w:val="both"/>
        <w:rPr>
          <w:bCs/>
          <w:lang w:val="en-GB"/>
        </w:rPr>
      </w:pPr>
    </w:p>
    <w:p w:rsidR="00D60B4A" w:rsidRPr="00901D6F" w:rsidRDefault="00D60B4A" w:rsidP="00D60B4A">
      <w:pPr>
        <w:numPr>
          <w:ilvl w:val="0"/>
          <w:numId w:val="15"/>
        </w:numPr>
        <w:tabs>
          <w:tab w:val="left" w:pos="360"/>
        </w:tabs>
        <w:contextualSpacing/>
        <w:jc w:val="both"/>
        <w:rPr>
          <w:b/>
        </w:rPr>
      </w:pPr>
      <w:r w:rsidRPr="00901D6F">
        <w:rPr>
          <w:b/>
        </w:rPr>
        <w:t>The Investigation</w:t>
      </w:r>
    </w:p>
    <w:p w:rsidR="00D60B4A" w:rsidRPr="00901D6F" w:rsidRDefault="00D60B4A" w:rsidP="00D60B4A">
      <w:pPr>
        <w:widowControl w:val="0"/>
        <w:tabs>
          <w:tab w:val="left" w:pos="360"/>
          <w:tab w:val="left" w:pos="1080"/>
        </w:tabs>
        <w:suppressAutoHyphens/>
        <w:jc w:val="both"/>
        <w:rPr>
          <w:bCs/>
          <w:lang w:val="en-GB"/>
        </w:rPr>
      </w:pPr>
    </w:p>
    <w:p w:rsidR="002579EE" w:rsidRPr="00901D6F" w:rsidRDefault="00842CA9" w:rsidP="00D60B4A">
      <w:pPr>
        <w:widowControl w:val="0"/>
        <w:numPr>
          <w:ilvl w:val="0"/>
          <w:numId w:val="5"/>
        </w:numPr>
        <w:tabs>
          <w:tab w:val="left" w:pos="360"/>
          <w:tab w:val="left" w:pos="1080"/>
        </w:tabs>
        <w:suppressAutoHyphens/>
        <w:ind w:left="360"/>
        <w:jc w:val="both"/>
        <w:rPr>
          <w:bCs/>
          <w:lang w:val="en-GB"/>
        </w:rPr>
      </w:pPr>
      <w:r w:rsidRPr="00901D6F">
        <w:rPr>
          <w:lang w:val="en-GB"/>
        </w:rPr>
        <w:t xml:space="preserve">Concerning disclosure of information contained in the files, the Panel recalls that UNMIK has made available </w:t>
      </w:r>
      <w:r w:rsidR="00570D6A" w:rsidRPr="00901D6F">
        <w:rPr>
          <w:lang w:val="en-GB"/>
        </w:rPr>
        <w:t>investigative</w:t>
      </w:r>
      <w:r w:rsidRPr="00901D6F">
        <w:rPr>
          <w:lang w:val="en-GB"/>
        </w:rPr>
        <w:t xml:space="preser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A3345D" w:rsidRPr="00901D6F" w:rsidRDefault="00A3345D" w:rsidP="00A3345D">
      <w:pPr>
        <w:pStyle w:val="ListParagraph"/>
        <w:suppressAutoHyphens w:val="0"/>
        <w:ind w:left="360"/>
        <w:contextualSpacing/>
        <w:jc w:val="both"/>
        <w:rPr>
          <w:lang w:val="en-GB"/>
        </w:rPr>
      </w:pPr>
    </w:p>
    <w:p w:rsidR="0087512A" w:rsidRPr="00901D6F" w:rsidRDefault="0087512A" w:rsidP="0087512A">
      <w:pPr>
        <w:pStyle w:val="Default"/>
        <w:numPr>
          <w:ilvl w:val="0"/>
          <w:numId w:val="5"/>
        </w:numPr>
        <w:tabs>
          <w:tab w:val="clear" w:pos="630"/>
          <w:tab w:val="left" w:pos="360"/>
        </w:tabs>
        <w:suppressAutoHyphens/>
        <w:ind w:left="360"/>
        <w:jc w:val="both"/>
        <w:rPr>
          <w:bCs/>
          <w:lang w:val="en-GB"/>
        </w:rPr>
      </w:pPr>
      <w:bookmarkStart w:id="8" w:name="_Ref347322102"/>
      <w:r w:rsidRPr="00901D6F">
        <w:rPr>
          <w:lang w:val="en-GB"/>
        </w:rPr>
        <w:t>On</w:t>
      </w:r>
      <w:bookmarkStart w:id="9" w:name="_Ref348357381"/>
      <w:r w:rsidR="00FB74F9" w:rsidRPr="00901D6F">
        <w:rPr>
          <w:lang w:val="en-GB"/>
        </w:rPr>
        <w:t xml:space="preserve"> 2</w:t>
      </w:r>
      <w:r w:rsidR="00901D6F" w:rsidRPr="00901D6F">
        <w:rPr>
          <w:lang w:val="en-GB"/>
        </w:rPr>
        <w:t>3</w:t>
      </w:r>
      <w:r w:rsidRPr="00901D6F">
        <w:rPr>
          <w:lang w:val="en-GB"/>
        </w:rPr>
        <w:t xml:space="preserve"> </w:t>
      </w:r>
      <w:r w:rsidR="00FB74F9" w:rsidRPr="00901D6F">
        <w:rPr>
          <w:lang w:val="en-GB"/>
        </w:rPr>
        <w:t xml:space="preserve">December </w:t>
      </w:r>
      <w:r w:rsidRPr="00901D6F">
        <w:rPr>
          <w:lang w:val="en-GB"/>
        </w:rPr>
        <w:t>201</w:t>
      </w:r>
      <w:r w:rsidR="00901D6F" w:rsidRPr="00901D6F">
        <w:rPr>
          <w:lang w:val="en-GB"/>
        </w:rPr>
        <w:t xml:space="preserve">1, </w:t>
      </w:r>
      <w:r w:rsidRPr="00901D6F">
        <w:rPr>
          <w:bCs/>
          <w:lang w:val="en-GB"/>
        </w:rPr>
        <w:t xml:space="preserve">UNMIK presented to the Panel the documents </w:t>
      </w:r>
      <w:r w:rsidRPr="00901D6F">
        <w:t>which were held previously by the OMPF and</w:t>
      </w:r>
      <w:r w:rsidR="00FB74F9" w:rsidRPr="00901D6F">
        <w:t xml:space="preserve"> EULEX Police.</w:t>
      </w:r>
      <w:r w:rsidRPr="00901D6F">
        <w:t xml:space="preserve"> </w:t>
      </w:r>
      <w:r w:rsidR="00FB74F9" w:rsidRPr="00901D6F">
        <w:t>On 20</w:t>
      </w:r>
      <w:r w:rsidRPr="00901D6F">
        <w:t xml:space="preserve"> </w:t>
      </w:r>
      <w:r w:rsidR="00FB74F9" w:rsidRPr="00901D6F">
        <w:t>March</w:t>
      </w:r>
      <w:r w:rsidRPr="00901D6F">
        <w:t xml:space="preserve"> 2013, UNMIK confirmed to the Panel that all files in UNMIK’s possession have been disclosed.</w:t>
      </w:r>
      <w:bookmarkEnd w:id="9"/>
    </w:p>
    <w:bookmarkEnd w:id="8"/>
    <w:p w:rsidR="0087512A" w:rsidRPr="00901D6F" w:rsidRDefault="0087512A" w:rsidP="0087512A">
      <w:pPr>
        <w:widowControl w:val="0"/>
        <w:tabs>
          <w:tab w:val="left" w:pos="360"/>
          <w:tab w:val="left" w:pos="1080"/>
        </w:tabs>
        <w:suppressAutoHyphens/>
        <w:ind w:left="360"/>
        <w:jc w:val="both"/>
        <w:rPr>
          <w:bCs/>
          <w:lang w:val="en-GB"/>
        </w:rPr>
      </w:pPr>
    </w:p>
    <w:p w:rsidR="0087512A" w:rsidRPr="00901D6F" w:rsidRDefault="005B7044" w:rsidP="0087512A">
      <w:pPr>
        <w:widowControl w:val="0"/>
        <w:numPr>
          <w:ilvl w:val="0"/>
          <w:numId w:val="5"/>
        </w:numPr>
        <w:tabs>
          <w:tab w:val="left" w:pos="360"/>
          <w:tab w:val="left" w:pos="1080"/>
        </w:tabs>
        <w:suppressAutoHyphens/>
        <w:ind w:left="360"/>
        <w:jc w:val="both"/>
        <w:rPr>
          <w:bCs/>
          <w:lang w:val="en-GB"/>
        </w:rPr>
      </w:pPr>
      <w:r w:rsidRPr="00901D6F">
        <w:rPr>
          <w:bCs/>
          <w:lang w:val="en-GB"/>
        </w:rPr>
        <w:t>On 15</w:t>
      </w:r>
      <w:r w:rsidR="0087512A" w:rsidRPr="00901D6F">
        <w:rPr>
          <w:bCs/>
          <w:lang w:val="en-GB"/>
        </w:rPr>
        <w:t xml:space="preserve"> </w:t>
      </w:r>
      <w:r w:rsidRPr="00901D6F">
        <w:rPr>
          <w:bCs/>
          <w:lang w:val="en-GB"/>
        </w:rPr>
        <w:t>October 1999</w:t>
      </w:r>
      <w:r w:rsidR="0087512A" w:rsidRPr="00901D6F">
        <w:rPr>
          <w:bCs/>
          <w:lang w:val="en-GB"/>
        </w:rPr>
        <w:t>,</w:t>
      </w:r>
      <w:r w:rsidR="00294BF4" w:rsidRPr="00901D6F">
        <w:rPr>
          <w:bCs/>
          <w:lang w:val="en-GB"/>
        </w:rPr>
        <w:t xml:space="preserve"> </w:t>
      </w:r>
      <w:r w:rsidRPr="00901D6F">
        <w:rPr>
          <w:bCs/>
          <w:lang w:val="en-GB"/>
        </w:rPr>
        <w:t>an interview</w:t>
      </w:r>
      <w:r w:rsidR="00D023BC" w:rsidRPr="00901D6F">
        <w:rPr>
          <w:bCs/>
          <w:lang w:val="en-GB"/>
        </w:rPr>
        <w:t xml:space="preserve"> appears to have been conducted</w:t>
      </w:r>
      <w:r w:rsidRPr="00901D6F">
        <w:rPr>
          <w:bCs/>
          <w:lang w:val="en-GB"/>
        </w:rPr>
        <w:t xml:space="preserve"> </w:t>
      </w:r>
      <w:r w:rsidR="0087512A" w:rsidRPr="00901D6F">
        <w:rPr>
          <w:bCs/>
          <w:lang w:val="en-GB"/>
        </w:rPr>
        <w:t>with the complainant</w:t>
      </w:r>
      <w:r w:rsidR="001D3666" w:rsidRPr="00901D6F">
        <w:rPr>
          <w:bCs/>
          <w:lang w:val="en-GB"/>
        </w:rPr>
        <w:t xml:space="preserve"> in order to collect ante-mortem data</w:t>
      </w:r>
      <w:r w:rsidR="00294BF4" w:rsidRPr="00901D6F">
        <w:rPr>
          <w:bCs/>
          <w:lang w:val="en-GB"/>
        </w:rPr>
        <w:t>, although the file does not clarify who conducted the interview</w:t>
      </w:r>
      <w:r w:rsidR="0087512A" w:rsidRPr="00901D6F">
        <w:rPr>
          <w:bCs/>
          <w:lang w:val="en-GB"/>
        </w:rPr>
        <w:t xml:space="preserve">. According to the documents provided by UNMIK, </w:t>
      </w:r>
      <w:proofErr w:type="spellStart"/>
      <w:r w:rsidRPr="00901D6F">
        <w:rPr>
          <w:lang w:val="en-GB"/>
        </w:rPr>
        <w:t>Borislav</w:t>
      </w:r>
      <w:proofErr w:type="spellEnd"/>
      <w:r w:rsidRPr="00901D6F">
        <w:rPr>
          <w:lang w:val="en-GB"/>
        </w:rPr>
        <w:t xml:space="preserve"> </w:t>
      </w:r>
      <w:proofErr w:type="spellStart"/>
      <w:r w:rsidRPr="00901D6F">
        <w:rPr>
          <w:lang w:val="en-GB"/>
        </w:rPr>
        <w:t>Pavić</w:t>
      </w:r>
      <w:proofErr w:type="spellEnd"/>
      <w:r w:rsidRPr="00901D6F">
        <w:rPr>
          <w:lang w:val="en-GB"/>
        </w:rPr>
        <w:t xml:space="preserve"> </w:t>
      </w:r>
      <w:r w:rsidR="0087512A" w:rsidRPr="00901D6F">
        <w:rPr>
          <w:lang w:val="en-GB"/>
        </w:rPr>
        <w:t>was still considered “missing” at that time.</w:t>
      </w:r>
    </w:p>
    <w:p w:rsidR="00901D6F" w:rsidRPr="00901D6F" w:rsidRDefault="00901D6F">
      <w:pPr>
        <w:widowControl w:val="0"/>
        <w:tabs>
          <w:tab w:val="left" w:pos="360"/>
          <w:tab w:val="left" w:pos="1080"/>
        </w:tabs>
        <w:suppressAutoHyphens/>
        <w:ind w:left="360"/>
        <w:jc w:val="both"/>
        <w:rPr>
          <w:bCs/>
          <w:lang w:val="en-GB"/>
        </w:rPr>
      </w:pPr>
    </w:p>
    <w:p w:rsidR="00D023BC" w:rsidRPr="00901D6F" w:rsidRDefault="00BA25EA">
      <w:pPr>
        <w:widowControl w:val="0"/>
        <w:numPr>
          <w:ilvl w:val="0"/>
          <w:numId w:val="5"/>
        </w:numPr>
        <w:tabs>
          <w:tab w:val="left" w:pos="360"/>
          <w:tab w:val="left" w:pos="1080"/>
        </w:tabs>
        <w:suppressAutoHyphens/>
        <w:ind w:left="360"/>
        <w:jc w:val="both"/>
        <w:rPr>
          <w:bCs/>
          <w:lang w:val="en-GB"/>
        </w:rPr>
      </w:pPr>
      <w:r w:rsidRPr="00901D6F">
        <w:rPr>
          <w:bCs/>
          <w:lang w:val="en-GB"/>
        </w:rPr>
        <w:t xml:space="preserve">According to the information provided by UNMIK, </w:t>
      </w:r>
      <w:proofErr w:type="spellStart"/>
      <w:r w:rsidRPr="00901D6F">
        <w:rPr>
          <w:lang w:val="en-GB"/>
        </w:rPr>
        <w:t>Borislav</w:t>
      </w:r>
      <w:proofErr w:type="spellEnd"/>
      <w:r w:rsidRPr="00901D6F">
        <w:rPr>
          <w:lang w:val="en-GB"/>
        </w:rPr>
        <w:t xml:space="preserve"> </w:t>
      </w:r>
      <w:proofErr w:type="spellStart"/>
      <w:r w:rsidRPr="00901D6F">
        <w:rPr>
          <w:lang w:val="en-GB"/>
        </w:rPr>
        <w:t>Pavić</w:t>
      </w:r>
      <w:r w:rsidRPr="00901D6F">
        <w:rPr>
          <w:bCs/>
          <w:lang w:val="en-GB"/>
        </w:rPr>
        <w:t>’s</w:t>
      </w:r>
      <w:proofErr w:type="spellEnd"/>
      <w:r w:rsidRPr="00901D6F">
        <w:rPr>
          <w:bCs/>
          <w:lang w:val="en-GB"/>
        </w:rPr>
        <w:t xml:space="preserve"> mortal remains were autopsied by </w:t>
      </w:r>
      <w:r w:rsidRPr="00901D6F">
        <w:t>personnel from the International Criminal Tribunal for the former Yugoslavia (ICTY)</w:t>
      </w:r>
      <w:r w:rsidRPr="00901D6F">
        <w:rPr>
          <w:bCs/>
          <w:lang w:val="en-GB"/>
        </w:rPr>
        <w:t xml:space="preserve"> on 12 July 2000 and then numbered and </w:t>
      </w:r>
      <w:commentRangeStart w:id="10"/>
      <w:r w:rsidRPr="00901D6F">
        <w:rPr>
          <w:bCs/>
          <w:lang w:val="en-GB"/>
        </w:rPr>
        <w:t>reburied</w:t>
      </w:r>
      <w:commentRangeEnd w:id="10"/>
      <w:r w:rsidRPr="00901D6F">
        <w:rPr>
          <w:rStyle w:val="CommentReference"/>
        </w:rPr>
        <w:commentReference w:id="10"/>
      </w:r>
      <w:r w:rsidRPr="00901D6F">
        <w:rPr>
          <w:bCs/>
          <w:lang w:val="en-GB"/>
        </w:rPr>
        <w:t xml:space="preserve">, along with six other bodies, in an unmarked grave in </w:t>
      </w:r>
      <w:proofErr w:type="spellStart"/>
      <w:r w:rsidRPr="00901D6F">
        <w:rPr>
          <w:lang w:val="en-GB"/>
        </w:rPr>
        <w:t>Gjilan</w:t>
      </w:r>
      <w:proofErr w:type="spellEnd"/>
      <w:r w:rsidRPr="00901D6F">
        <w:rPr>
          <w:lang w:val="en-GB"/>
        </w:rPr>
        <w:t>/</w:t>
      </w:r>
      <w:proofErr w:type="spellStart"/>
      <w:r w:rsidRPr="00901D6F">
        <w:rPr>
          <w:lang w:val="en-GB"/>
        </w:rPr>
        <w:t>Gnjilane</w:t>
      </w:r>
      <w:proofErr w:type="spellEnd"/>
      <w:r w:rsidRPr="00901D6F">
        <w:rPr>
          <w:lang w:val="en-GB"/>
        </w:rPr>
        <w:t xml:space="preserve"> cemetery</w:t>
      </w:r>
      <w:r w:rsidRPr="00901D6F">
        <w:rPr>
          <w:bCs/>
          <w:lang w:val="en-GB"/>
        </w:rPr>
        <w:t xml:space="preserve">. </w:t>
      </w:r>
    </w:p>
    <w:p w:rsidR="0087512A" w:rsidRPr="00901D6F" w:rsidRDefault="0087512A" w:rsidP="0087512A">
      <w:pPr>
        <w:widowControl w:val="0"/>
        <w:tabs>
          <w:tab w:val="left" w:pos="360"/>
          <w:tab w:val="left" w:pos="1080"/>
        </w:tabs>
        <w:suppressAutoHyphens/>
        <w:ind w:left="360"/>
        <w:jc w:val="both"/>
        <w:rPr>
          <w:bCs/>
          <w:lang w:val="en-GB"/>
        </w:rPr>
      </w:pPr>
    </w:p>
    <w:p w:rsidR="0087512A" w:rsidRPr="00901D6F" w:rsidRDefault="0087512A" w:rsidP="0087512A">
      <w:pPr>
        <w:widowControl w:val="0"/>
        <w:numPr>
          <w:ilvl w:val="0"/>
          <w:numId w:val="5"/>
        </w:numPr>
        <w:tabs>
          <w:tab w:val="left" w:pos="360"/>
          <w:tab w:val="left" w:pos="1080"/>
        </w:tabs>
        <w:suppressAutoHyphens/>
        <w:ind w:left="360"/>
        <w:jc w:val="both"/>
        <w:rPr>
          <w:bCs/>
          <w:lang w:val="en-GB"/>
        </w:rPr>
      </w:pPr>
      <w:r w:rsidRPr="00901D6F">
        <w:rPr>
          <w:bCs/>
          <w:lang w:val="en-GB"/>
        </w:rPr>
        <w:t xml:space="preserve">It appears that </w:t>
      </w:r>
      <w:proofErr w:type="spellStart"/>
      <w:r w:rsidR="0067342A" w:rsidRPr="00901D6F">
        <w:rPr>
          <w:lang w:val="en-GB"/>
        </w:rPr>
        <w:t>Borislav</w:t>
      </w:r>
      <w:proofErr w:type="spellEnd"/>
      <w:r w:rsidR="0067342A" w:rsidRPr="00901D6F">
        <w:rPr>
          <w:lang w:val="en-GB"/>
        </w:rPr>
        <w:t xml:space="preserve"> </w:t>
      </w:r>
      <w:proofErr w:type="spellStart"/>
      <w:r w:rsidR="0067342A" w:rsidRPr="00901D6F">
        <w:rPr>
          <w:lang w:val="en-GB"/>
        </w:rPr>
        <w:t>Pavić’s</w:t>
      </w:r>
      <w:proofErr w:type="spellEnd"/>
      <w:r w:rsidR="0067342A" w:rsidRPr="00901D6F">
        <w:rPr>
          <w:lang w:val="en-GB"/>
        </w:rPr>
        <w:t xml:space="preserve"> </w:t>
      </w:r>
      <w:r w:rsidR="00570D6A" w:rsidRPr="00901D6F">
        <w:rPr>
          <w:lang w:val="en-GB"/>
        </w:rPr>
        <w:t>mortal remains were</w:t>
      </w:r>
      <w:r w:rsidRPr="00901D6F">
        <w:rPr>
          <w:lang w:val="en-GB"/>
        </w:rPr>
        <w:t xml:space="preserve"> exhumed again from </w:t>
      </w:r>
      <w:proofErr w:type="spellStart"/>
      <w:r w:rsidR="0067342A" w:rsidRPr="00901D6F">
        <w:rPr>
          <w:lang w:val="en-GB"/>
        </w:rPr>
        <w:t>Gjilan</w:t>
      </w:r>
      <w:proofErr w:type="spellEnd"/>
      <w:r w:rsidR="0067342A" w:rsidRPr="00901D6F">
        <w:rPr>
          <w:lang w:val="en-GB"/>
        </w:rPr>
        <w:t>/</w:t>
      </w:r>
      <w:proofErr w:type="spellStart"/>
      <w:r w:rsidR="0067342A" w:rsidRPr="00901D6F">
        <w:rPr>
          <w:lang w:val="en-GB"/>
        </w:rPr>
        <w:t>Gnjilane</w:t>
      </w:r>
      <w:proofErr w:type="spellEnd"/>
      <w:r w:rsidR="0067342A" w:rsidRPr="00901D6F">
        <w:rPr>
          <w:lang w:val="en-GB"/>
        </w:rPr>
        <w:t xml:space="preserve"> cemetery</w:t>
      </w:r>
      <w:r w:rsidR="0067342A" w:rsidRPr="00901D6F">
        <w:rPr>
          <w:bCs/>
          <w:lang w:val="en-GB"/>
        </w:rPr>
        <w:t xml:space="preserve"> on 3</w:t>
      </w:r>
      <w:r w:rsidRPr="00901D6F">
        <w:rPr>
          <w:bCs/>
          <w:lang w:val="en-GB"/>
        </w:rPr>
        <w:t xml:space="preserve"> </w:t>
      </w:r>
      <w:r w:rsidR="0067342A" w:rsidRPr="00901D6F">
        <w:rPr>
          <w:bCs/>
          <w:lang w:val="en-GB"/>
        </w:rPr>
        <w:t>March 2003</w:t>
      </w:r>
      <w:r w:rsidRPr="00901D6F">
        <w:rPr>
          <w:bCs/>
          <w:lang w:val="en-GB"/>
        </w:rPr>
        <w:t>.</w:t>
      </w:r>
      <w:r w:rsidRPr="00901D6F">
        <w:rPr>
          <w:lang w:val="en-GB"/>
        </w:rPr>
        <w:t xml:space="preserve"> </w:t>
      </w:r>
      <w:r w:rsidRPr="00901D6F">
        <w:rPr>
          <w:bCs/>
          <w:lang w:val="en-GB"/>
        </w:rPr>
        <w:t xml:space="preserve"> </w:t>
      </w:r>
      <w:r w:rsidR="00947B63" w:rsidRPr="00901D6F">
        <w:rPr>
          <w:bCs/>
          <w:lang w:val="en-GB"/>
        </w:rPr>
        <w:t>According to information provided by UNMIK, several OMPF investigators were involved in the investigation and identification of the remains of the missing person.</w:t>
      </w:r>
    </w:p>
    <w:p w:rsidR="0087512A" w:rsidRPr="00901D6F" w:rsidRDefault="0087512A" w:rsidP="0087512A">
      <w:pPr>
        <w:widowControl w:val="0"/>
        <w:tabs>
          <w:tab w:val="left" w:pos="360"/>
          <w:tab w:val="left" w:pos="1080"/>
        </w:tabs>
        <w:suppressAutoHyphens/>
        <w:ind w:left="360"/>
        <w:jc w:val="both"/>
        <w:rPr>
          <w:bCs/>
          <w:lang w:val="en-GB"/>
        </w:rPr>
      </w:pPr>
    </w:p>
    <w:p w:rsidR="0087512A" w:rsidRPr="00901D6F" w:rsidRDefault="0087512A" w:rsidP="0087512A">
      <w:pPr>
        <w:widowControl w:val="0"/>
        <w:numPr>
          <w:ilvl w:val="0"/>
          <w:numId w:val="5"/>
        </w:numPr>
        <w:tabs>
          <w:tab w:val="left" w:pos="360"/>
          <w:tab w:val="left" w:pos="1080"/>
        </w:tabs>
        <w:suppressAutoHyphens/>
        <w:ind w:left="360"/>
        <w:jc w:val="both"/>
        <w:rPr>
          <w:bCs/>
          <w:lang w:val="en-GB"/>
        </w:rPr>
      </w:pPr>
      <w:r w:rsidRPr="00901D6F">
        <w:rPr>
          <w:bCs/>
          <w:lang w:val="en-GB"/>
        </w:rPr>
        <w:t>According to</w:t>
      </w:r>
      <w:r w:rsidR="000D3344" w:rsidRPr="00901D6F">
        <w:rPr>
          <w:bCs/>
          <w:lang w:val="en-GB"/>
        </w:rPr>
        <w:t xml:space="preserve"> both the autopsy report by the ICTY</w:t>
      </w:r>
      <w:r w:rsidR="002856A0" w:rsidRPr="00901D6F">
        <w:rPr>
          <w:bCs/>
          <w:lang w:val="en-GB"/>
        </w:rPr>
        <w:t>,</w:t>
      </w:r>
      <w:r w:rsidR="000D3344" w:rsidRPr="00901D6F">
        <w:rPr>
          <w:bCs/>
          <w:lang w:val="en-GB"/>
        </w:rPr>
        <w:t xml:space="preserve"> dated 13 July 2000</w:t>
      </w:r>
      <w:r w:rsidR="002856A0" w:rsidRPr="00901D6F">
        <w:rPr>
          <w:bCs/>
          <w:lang w:val="en-GB"/>
        </w:rPr>
        <w:t>,</w:t>
      </w:r>
      <w:r w:rsidR="000D3344" w:rsidRPr="00901D6F">
        <w:rPr>
          <w:bCs/>
          <w:lang w:val="en-GB"/>
        </w:rPr>
        <w:t xml:space="preserve"> and</w:t>
      </w:r>
      <w:r w:rsidRPr="00901D6F">
        <w:rPr>
          <w:bCs/>
          <w:lang w:val="en-GB"/>
        </w:rPr>
        <w:t xml:space="preserve"> th</w:t>
      </w:r>
      <w:r w:rsidR="0067342A" w:rsidRPr="00901D6F">
        <w:rPr>
          <w:bCs/>
          <w:lang w:val="en-GB"/>
        </w:rPr>
        <w:t>e death certificate issued on 7</w:t>
      </w:r>
      <w:r w:rsidRPr="00901D6F">
        <w:rPr>
          <w:bCs/>
          <w:lang w:val="en-GB"/>
        </w:rPr>
        <w:t xml:space="preserve"> </w:t>
      </w:r>
      <w:r w:rsidR="0067342A" w:rsidRPr="00901D6F">
        <w:rPr>
          <w:bCs/>
          <w:lang w:val="en-GB"/>
        </w:rPr>
        <w:t>January 2003</w:t>
      </w:r>
      <w:r w:rsidRPr="00901D6F">
        <w:rPr>
          <w:bCs/>
          <w:lang w:val="en-GB"/>
        </w:rPr>
        <w:t xml:space="preserve"> by the Office of the Medical Examiner of the D</w:t>
      </w:r>
      <w:r w:rsidR="00294BF4" w:rsidRPr="00901D6F">
        <w:rPr>
          <w:bCs/>
          <w:lang w:val="en-GB"/>
        </w:rPr>
        <w:t>OJ</w:t>
      </w:r>
      <w:r w:rsidRPr="00901D6F">
        <w:rPr>
          <w:bCs/>
          <w:lang w:val="en-GB"/>
        </w:rPr>
        <w:t xml:space="preserve">, the death of </w:t>
      </w:r>
      <w:proofErr w:type="spellStart"/>
      <w:r w:rsidR="00134576" w:rsidRPr="00901D6F">
        <w:rPr>
          <w:lang w:val="en-GB"/>
        </w:rPr>
        <w:t>Borislav</w:t>
      </w:r>
      <w:proofErr w:type="spellEnd"/>
      <w:r w:rsidR="00134576" w:rsidRPr="00901D6F">
        <w:rPr>
          <w:lang w:val="en-GB"/>
        </w:rPr>
        <w:t xml:space="preserve"> </w:t>
      </w:r>
      <w:proofErr w:type="spellStart"/>
      <w:r w:rsidR="00134576" w:rsidRPr="00901D6F">
        <w:rPr>
          <w:lang w:val="en-GB"/>
        </w:rPr>
        <w:t>Pavić</w:t>
      </w:r>
      <w:proofErr w:type="spellEnd"/>
      <w:r w:rsidR="00134576" w:rsidRPr="00901D6F">
        <w:rPr>
          <w:bCs/>
          <w:lang w:val="en-GB"/>
        </w:rPr>
        <w:t xml:space="preserve"> </w:t>
      </w:r>
      <w:r w:rsidR="0067342A" w:rsidRPr="00901D6F">
        <w:rPr>
          <w:bCs/>
          <w:lang w:val="en-GB"/>
        </w:rPr>
        <w:t xml:space="preserve">was caused by </w:t>
      </w:r>
      <w:r w:rsidRPr="00901D6F">
        <w:rPr>
          <w:bCs/>
          <w:lang w:val="en-GB"/>
        </w:rPr>
        <w:t>“</w:t>
      </w:r>
      <w:r w:rsidR="0067342A" w:rsidRPr="00901D6F">
        <w:rPr>
          <w:bCs/>
          <w:lang w:val="en-GB"/>
        </w:rPr>
        <w:t>brain damage from a bullet”</w:t>
      </w:r>
      <w:r w:rsidR="00AA0927" w:rsidRPr="00901D6F">
        <w:rPr>
          <w:bCs/>
          <w:lang w:val="en-GB"/>
        </w:rPr>
        <w:t>.</w:t>
      </w:r>
      <w:r w:rsidRPr="00901D6F">
        <w:rPr>
          <w:bCs/>
          <w:lang w:val="en-GB"/>
        </w:rPr>
        <w:t xml:space="preserve"> The death certificate confirms the dat</w:t>
      </w:r>
      <w:r w:rsidR="0067342A" w:rsidRPr="00901D6F">
        <w:rPr>
          <w:bCs/>
          <w:lang w:val="en-GB"/>
        </w:rPr>
        <w:t>e of death as prior to 12</w:t>
      </w:r>
      <w:r w:rsidRPr="00901D6F">
        <w:rPr>
          <w:bCs/>
          <w:lang w:val="en-GB"/>
        </w:rPr>
        <w:t xml:space="preserve"> </w:t>
      </w:r>
      <w:r w:rsidR="0067342A" w:rsidRPr="00901D6F">
        <w:rPr>
          <w:bCs/>
          <w:lang w:val="en-GB"/>
        </w:rPr>
        <w:t>July</w:t>
      </w:r>
      <w:r w:rsidRPr="00901D6F">
        <w:rPr>
          <w:bCs/>
          <w:lang w:val="en-GB"/>
        </w:rPr>
        <w:t xml:space="preserve"> 2000. </w:t>
      </w:r>
    </w:p>
    <w:p w:rsidR="0087512A" w:rsidRPr="00901D6F" w:rsidRDefault="0087512A" w:rsidP="0087512A">
      <w:pPr>
        <w:widowControl w:val="0"/>
        <w:tabs>
          <w:tab w:val="left" w:pos="360"/>
          <w:tab w:val="left" w:pos="1080"/>
        </w:tabs>
        <w:suppressAutoHyphens/>
        <w:ind w:left="360"/>
        <w:jc w:val="both"/>
        <w:rPr>
          <w:bCs/>
          <w:lang w:val="en-GB"/>
        </w:rPr>
      </w:pPr>
    </w:p>
    <w:p w:rsidR="0087512A" w:rsidRPr="00901D6F" w:rsidRDefault="0087512A" w:rsidP="0087512A">
      <w:pPr>
        <w:widowControl w:val="0"/>
        <w:numPr>
          <w:ilvl w:val="0"/>
          <w:numId w:val="5"/>
        </w:numPr>
        <w:tabs>
          <w:tab w:val="left" w:pos="360"/>
          <w:tab w:val="left" w:pos="1080"/>
        </w:tabs>
        <w:suppressAutoHyphens/>
        <w:ind w:left="360"/>
        <w:jc w:val="both"/>
        <w:rPr>
          <w:bCs/>
          <w:lang w:val="en-GB"/>
        </w:rPr>
      </w:pPr>
      <w:r w:rsidRPr="00901D6F">
        <w:rPr>
          <w:bCs/>
          <w:lang w:val="en-GB"/>
        </w:rPr>
        <w:t>According to inf</w:t>
      </w:r>
      <w:r w:rsidR="00E46A34" w:rsidRPr="00901D6F">
        <w:rPr>
          <w:bCs/>
          <w:lang w:val="en-GB"/>
        </w:rPr>
        <w:t>ormation provided by UNMIK, on 27 November 2002</w:t>
      </w:r>
      <w:r w:rsidRPr="00901D6F">
        <w:rPr>
          <w:bCs/>
          <w:lang w:val="en-GB"/>
        </w:rPr>
        <w:t>, based on</w:t>
      </w:r>
      <w:r w:rsidR="00CC128F" w:rsidRPr="00901D6F">
        <w:rPr>
          <w:bCs/>
          <w:lang w:val="en-GB"/>
        </w:rPr>
        <w:t xml:space="preserve"> a general review of the</w:t>
      </w:r>
      <w:r w:rsidRPr="00901D6F">
        <w:rPr>
          <w:bCs/>
          <w:lang w:val="en-GB"/>
        </w:rPr>
        <w:t xml:space="preserve"> DNA analysis conducted by the </w:t>
      </w:r>
      <w:r w:rsidR="001D3666" w:rsidRPr="00901D6F">
        <w:rPr>
          <w:bCs/>
          <w:lang w:val="en-GB"/>
        </w:rPr>
        <w:t>ICMP</w:t>
      </w:r>
      <w:r w:rsidRPr="00901D6F">
        <w:rPr>
          <w:bCs/>
          <w:lang w:val="en-GB"/>
        </w:rPr>
        <w:t xml:space="preserve">, </w:t>
      </w:r>
      <w:r w:rsidR="00CC128F" w:rsidRPr="00901D6F">
        <w:rPr>
          <w:bCs/>
          <w:lang w:val="en-GB"/>
        </w:rPr>
        <w:t xml:space="preserve">the ICMP </w:t>
      </w:r>
      <w:r w:rsidRPr="00901D6F">
        <w:rPr>
          <w:bCs/>
          <w:lang w:val="en-GB"/>
        </w:rPr>
        <w:t xml:space="preserve">confirmed the identity of the mortal remains </w:t>
      </w:r>
      <w:r w:rsidR="00294BF4" w:rsidRPr="00901D6F">
        <w:rPr>
          <w:bCs/>
          <w:lang w:val="en-GB"/>
        </w:rPr>
        <w:t xml:space="preserve">as those </w:t>
      </w:r>
      <w:r w:rsidRPr="00901D6F">
        <w:rPr>
          <w:bCs/>
          <w:lang w:val="en-GB"/>
        </w:rPr>
        <w:t xml:space="preserve">of </w:t>
      </w:r>
      <w:proofErr w:type="spellStart"/>
      <w:r w:rsidR="0070150A" w:rsidRPr="00901D6F">
        <w:rPr>
          <w:lang w:val="en-GB"/>
        </w:rPr>
        <w:t>Borislav</w:t>
      </w:r>
      <w:proofErr w:type="spellEnd"/>
      <w:r w:rsidR="0070150A" w:rsidRPr="00901D6F">
        <w:rPr>
          <w:lang w:val="en-GB"/>
        </w:rPr>
        <w:t xml:space="preserve"> </w:t>
      </w:r>
      <w:proofErr w:type="spellStart"/>
      <w:r w:rsidR="0070150A" w:rsidRPr="00901D6F">
        <w:rPr>
          <w:lang w:val="en-GB"/>
        </w:rPr>
        <w:t>Pavić</w:t>
      </w:r>
      <w:proofErr w:type="spellEnd"/>
      <w:r w:rsidRPr="00901D6F">
        <w:rPr>
          <w:lang w:val="en-GB"/>
        </w:rPr>
        <w:t>.</w:t>
      </w:r>
    </w:p>
    <w:p w:rsidR="0087512A" w:rsidRPr="00901D6F" w:rsidRDefault="0087512A" w:rsidP="0087512A">
      <w:pPr>
        <w:widowControl w:val="0"/>
        <w:tabs>
          <w:tab w:val="left" w:pos="360"/>
          <w:tab w:val="left" w:pos="1080"/>
        </w:tabs>
        <w:suppressAutoHyphens/>
        <w:ind w:left="360"/>
        <w:jc w:val="both"/>
        <w:rPr>
          <w:bCs/>
          <w:lang w:val="en-GB"/>
        </w:rPr>
      </w:pPr>
    </w:p>
    <w:p w:rsidR="00773E9D" w:rsidRPr="00901D6F" w:rsidRDefault="0067342A" w:rsidP="00773E9D">
      <w:pPr>
        <w:widowControl w:val="0"/>
        <w:numPr>
          <w:ilvl w:val="0"/>
          <w:numId w:val="5"/>
        </w:numPr>
        <w:tabs>
          <w:tab w:val="left" w:pos="360"/>
          <w:tab w:val="left" w:pos="1080"/>
        </w:tabs>
        <w:suppressAutoHyphens/>
        <w:ind w:left="360"/>
        <w:jc w:val="both"/>
        <w:rPr>
          <w:bCs/>
          <w:lang w:val="en-GB"/>
        </w:rPr>
      </w:pPr>
      <w:r w:rsidRPr="00901D6F">
        <w:rPr>
          <w:bCs/>
          <w:lang w:val="en-GB"/>
        </w:rPr>
        <w:t>On 1</w:t>
      </w:r>
      <w:r w:rsidR="00B76B82" w:rsidRPr="00901D6F">
        <w:rPr>
          <w:bCs/>
          <w:lang w:val="en-GB"/>
        </w:rPr>
        <w:t xml:space="preserve">0 </w:t>
      </w:r>
      <w:r w:rsidRPr="00901D6F">
        <w:rPr>
          <w:bCs/>
          <w:lang w:val="en-GB"/>
        </w:rPr>
        <w:t>March 2003</w:t>
      </w:r>
      <w:r w:rsidR="0087512A" w:rsidRPr="00901D6F">
        <w:rPr>
          <w:bCs/>
          <w:lang w:val="en-GB"/>
        </w:rPr>
        <w:t xml:space="preserve">, the mortal remains of </w:t>
      </w:r>
      <w:proofErr w:type="spellStart"/>
      <w:r w:rsidRPr="00901D6F">
        <w:rPr>
          <w:lang w:val="en-GB"/>
        </w:rPr>
        <w:t>Borislav</w:t>
      </w:r>
      <w:proofErr w:type="spellEnd"/>
      <w:r w:rsidRPr="00901D6F">
        <w:rPr>
          <w:lang w:val="en-GB"/>
        </w:rPr>
        <w:t xml:space="preserve"> </w:t>
      </w:r>
      <w:proofErr w:type="spellStart"/>
      <w:r w:rsidRPr="00901D6F">
        <w:rPr>
          <w:lang w:val="en-GB"/>
        </w:rPr>
        <w:t>Pavić</w:t>
      </w:r>
      <w:proofErr w:type="spellEnd"/>
      <w:r w:rsidRPr="00901D6F">
        <w:rPr>
          <w:bCs/>
          <w:lang w:val="en-GB"/>
        </w:rPr>
        <w:t xml:space="preserve"> </w:t>
      </w:r>
      <w:r w:rsidR="0087512A" w:rsidRPr="00901D6F">
        <w:rPr>
          <w:bCs/>
          <w:lang w:val="en-GB"/>
        </w:rPr>
        <w:t xml:space="preserve">were returned to the complainant. </w:t>
      </w:r>
    </w:p>
    <w:p w:rsidR="00773E9D" w:rsidRPr="00901D6F" w:rsidRDefault="00773E9D" w:rsidP="00773E9D">
      <w:pPr>
        <w:widowControl w:val="0"/>
        <w:tabs>
          <w:tab w:val="left" w:pos="360"/>
          <w:tab w:val="left" w:pos="1080"/>
        </w:tabs>
        <w:suppressAutoHyphens/>
        <w:ind w:left="360"/>
        <w:jc w:val="both"/>
        <w:rPr>
          <w:bCs/>
          <w:lang w:val="en-GB"/>
        </w:rPr>
      </w:pPr>
    </w:p>
    <w:p w:rsidR="007F4E6B" w:rsidRPr="00294F1B" w:rsidRDefault="00773E9D" w:rsidP="00773E9D">
      <w:pPr>
        <w:widowControl w:val="0"/>
        <w:numPr>
          <w:ilvl w:val="0"/>
          <w:numId w:val="5"/>
        </w:numPr>
        <w:tabs>
          <w:tab w:val="left" w:pos="360"/>
          <w:tab w:val="left" w:pos="1080"/>
        </w:tabs>
        <w:suppressAutoHyphens/>
        <w:ind w:left="360"/>
        <w:jc w:val="both"/>
        <w:rPr>
          <w:bCs/>
          <w:lang w:val="en-GB"/>
        </w:rPr>
      </w:pPr>
      <w:r w:rsidRPr="00294F1B">
        <w:rPr>
          <w:bCs/>
          <w:lang w:val="en-GB"/>
        </w:rPr>
        <w:t xml:space="preserve">No further </w:t>
      </w:r>
      <w:r w:rsidRPr="00294F1B">
        <w:rPr>
          <w:lang w:val="en-GB"/>
        </w:rPr>
        <w:t>investigative</w:t>
      </w:r>
      <w:r w:rsidRPr="00294F1B">
        <w:rPr>
          <w:bCs/>
          <w:lang w:val="en-GB"/>
        </w:rPr>
        <w:t xml:space="preserve"> material was presented to the Panel by UNMIK, except for case registration numbers </w:t>
      </w:r>
      <w:r w:rsidR="00294BF4" w:rsidRPr="00294F1B">
        <w:rPr>
          <w:bCs/>
          <w:lang w:val="en-GB"/>
        </w:rPr>
        <w:t xml:space="preserve">indicating </w:t>
      </w:r>
      <w:r w:rsidRPr="00294F1B">
        <w:rPr>
          <w:bCs/>
          <w:lang w:val="en-GB"/>
        </w:rPr>
        <w:t xml:space="preserve">that UNMIK had carried out a criminal investigation and a confidential document from </w:t>
      </w:r>
      <w:r w:rsidR="002856A0" w:rsidRPr="00294F1B">
        <w:rPr>
          <w:bCs/>
          <w:lang w:val="en-GB"/>
        </w:rPr>
        <w:t xml:space="preserve">the </w:t>
      </w:r>
      <w:r w:rsidRPr="00294F1B">
        <w:rPr>
          <w:bCs/>
          <w:lang w:val="en-GB"/>
        </w:rPr>
        <w:t xml:space="preserve">OSCE, relating to an interview </w:t>
      </w:r>
      <w:r w:rsidR="00AA0927" w:rsidRPr="00294F1B">
        <w:rPr>
          <w:bCs/>
          <w:lang w:val="en-GB"/>
        </w:rPr>
        <w:t>with</w:t>
      </w:r>
      <w:r w:rsidRPr="00294F1B">
        <w:rPr>
          <w:bCs/>
          <w:lang w:val="en-GB"/>
        </w:rPr>
        <w:t xml:space="preserve"> OSCE staff and a </w:t>
      </w:r>
      <w:r w:rsidR="00947B63" w:rsidRPr="00294F1B">
        <w:rPr>
          <w:bCs/>
          <w:lang w:val="en-GB"/>
        </w:rPr>
        <w:t xml:space="preserve">relative of </w:t>
      </w:r>
      <w:proofErr w:type="spellStart"/>
      <w:r w:rsidR="00947B63" w:rsidRPr="00294F1B">
        <w:rPr>
          <w:lang w:val="en-GB"/>
        </w:rPr>
        <w:t>Borislav</w:t>
      </w:r>
      <w:proofErr w:type="spellEnd"/>
      <w:r w:rsidR="00947B63" w:rsidRPr="00294F1B">
        <w:rPr>
          <w:lang w:val="en-GB"/>
        </w:rPr>
        <w:t xml:space="preserve"> </w:t>
      </w:r>
      <w:proofErr w:type="spellStart"/>
      <w:r w:rsidR="00947B63" w:rsidRPr="00294F1B">
        <w:rPr>
          <w:lang w:val="en-GB"/>
        </w:rPr>
        <w:t>Pavić</w:t>
      </w:r>
      <w:proofErr w:type="spellEnd"/>
      <w:r w:rsidRPr="00294F1B">
        <w:rPr>
          <w:bCs/>
          <w:lang w:val="en-GB"/>
        </w:rPr>
        <w:t xml:space="preserve">. </w:t>
      </w:r>
    </w:p>
    <w:p w:rsidR="007F4E6B" w:rsidRDefault="007F4E6B" w:rsidP="007F4E6B">
      <w:pPr>
        <w:widowControl w:val="0"/>
        <w:tabs>
          <w:tab w:val="left" w:pos="360"/>
          <w:tab w:val="left" w:pos="1080"/>
        </w:tabs>
        <w:suppressAutoHyphens/>
        <w:ind w:left="360"/>
        <w:jc w:val="both"/>
        <w:rPr>
          <w:bCs/>
          <w:highlight w:val="yellow"/>
          <w:lang w:val="en-GB"/>
        </w:rPr>
      </w:pPr>
    </w:p>
    <w:p w:rsidR="007F4E6B" w:rsidRDefault="007F4E6B" w:rsidP="007F4E6B">
      <w:pPr>
        <w:widowControl w:val="0"/>
        <w:tabs>
          <w:tab w:val="left" w:pos="360"/>
          <w:tab w:val="left" w:pos="1080"/>
        </w:tabs>
        <w:suppressAutoHyphens/>
        <w:ind w:left="360"/>
        <w:jc w:val="both"/>
        <w:rPr>
          <w:bCs/>
          <w:highlight w:val="yellow"/>
          <w:lang w:val="en-GB"/>
        </w:rPr>
      </w:pPr>
    </w:p>
    <w:p w:rsidR="007F4E6B" w:rsidRPr="007F4E6B" w:rsidRDefault="007F4E6B" w:rsidP="007F4E6B">
      <w:pPr>
        <w:widowControl w:val="0"/>
        <w:tabs>
          <w:tab w:val="left" w:pos="360"/>
          <w:tab w:val="left" w:pos="1080"/>
        </w:tabs>
        <w:suppressAutoHyphens/>
        <w:jc w:val="both"/>
        <w:rPr>
          <w:b/>
          <w:bCs/>
          <w:lang w:val="en-GB"/>
        </w:rPr>
      </w:pPr>
      <w:r w:rsidRPr="007F4E6B">
        <w:rPr>
          <w:b/>
          <w:bCs/>
          <w:lang w:val="en-GB"/>
        </w:rPr>
        <w:t>III. THE COMPLAINT</w:t>
      </w:r>
    </w:p>
    <w:p w:rsidR="007F4E6B" w:rsidRPr="007F4E6B" w:rsidRDefault="007F4E6B" w:rsidP="007F4E6B">
      <w:pPr>
        <w:widowControl w:val="0"/>
        <w:tabs>
          <w:tab w:val="left" w:pos="360"/>
          <w:tab w:val="left" w:pos="1080"/>
        </w:tabs>
        <w:suppressAutoHyphens/>
        <w:ind w:left="360"/>
        <w:jc w:val="both"/>
        <w:rPr>
          <w:bCs/>
          <w:lang w:val="en-GB"/>
        </w:rPr>
      </w:pPr>
    </w:p>
    <w:p w:rsidR="00773E9D" w:rsidRPr="007F4E6B" w:rsidRDefault="007F4E6B" w:rsidP="00773E9D">
      <w:pPr>
        <w:widowControl w:val="0"/>
        <w:numPr>
          <w:ilvl w:val="0"/>
          <w:numId w:val="5"/>
        </w:numPr>
        <w:tabs>
          <w:tab w:val="left" w:pos="360"/>
          <w:tab w:val="left" w:pos="1080"/>
        </w:tabs>
        <w:suppressAutoHyphens/>
        <w:ind w:left="360"/>
        <w:jc w:val="both"/>
        <w:rPr>
          <w:bCs/>
          <w:lang w:val="en-GB"/>
        </w:rPr>
      </w:pPr>
      <w:r w:rsidRPr="007F4E6B">
        <w:rPr>
          <w:lang w:val="en-GB"/>
        </w:rPr>
        <w:t>The com</w:t>
      </w:r>
      <w:r w:rsidRPr="007F4E6B">
        <w:rPr>
          <w:bCs/>
          <w:lang w:val="en-GB"/>
        </w:rPr>
        <w:t>plainant complains about UNMIK’s alleged failure to properly investigate the abduction and killing of her husband. In this regard, the Panel deems that she invokes a violation of the procedural limb of Article 2 of the European Convention on Human Rights (ECHR).</w:t>
      </w:r>
    </w:p>
    <w:p w:rsidR="00773E9D" w:rsidRPr="007F4E6B" w:rsidRDefault="00773E9D" w:rsidP="00773E9D">
      <w:pPr>
        <w:widowControl w:val="0"/>
        <w:tabs>
          <w:tab w:val="left" w:pos="360"/>
          <w:tab w:val="left" w:pos="1080"/>
        </w:tabs>
        <w:suppressAutoHyphens/>
        <w:ind w:left="360"/>
        <w:jc w:val="both"/>
        <w:rPr>
          <w:bCs/>
          <w:lang w:val="en-GB"/>
        </w:rPr>
      </w:pPr>
    </w:p>
    <w:p w:rsidR="00901D6F" w:rsidRPr="007F4E6B" w:rsidRDefault="00901D6F" w:rsidP="00901D6F">
      <w:pPr>
        <w:widowControl w:val="0"/>
        <w:tabs>
          <w:tab w:val="left" w:pos="360"/>
          <w:tab w:val="left" w:pos="1080"/>
        </w:tabs>
        <w:suppressAutoHyphens/>
        <w:jc w:val="both"/>
        <w:rPr>
          <w:lang w:val="en-GB"/>
        </w:rPr>
      </w:pPr>
    </w:p>
    <w:p w:rsidR="007551D8" w:rsidRPr="007F4E6B" w:rsidRDefault="007F4E6B" w:rsidP="007F4E6B">
      <w:pPr>
        <w:tabs>
          <w:tab w:val="left" w:pos="360"/>
        </w:tabs>
        <w:suppressAutoHyphens/>
        <w:autoSpaceDE w:val="0"/>
        <w:jc w:val="both"/>
        <w:rPr>
          <w:b/>
          <w:bCs/>
          <w:lang w:val="en-GB"/>
        </w:rPr>
      </w:pPr>
      <w:r w:rsidRPr="007F4E6B">
        <w:rPr>
          <w:b/>
          <w:bCs/>
          <w:lang w:val="en-GB"/>
        </w:rPr>
        <w:t xml:space="preserve">IV. </w:t>
      </w:r>
      <w:r w:rsidR="007551D8" w:rsidRPr="007F4E6B">
        <w:rPr>
          <w:b/>
          <w:bCs/>
          <w:lang w:val="en-GB"/>
        </w:rPr>
        <w:t>THE LAW</w:t>
      </w:r>
    </w:p>
    <w:p w:rsidR="000F336F" w:rsidRPr="007F4E6B" w:rsidRDefault="000F336F" w:rsidP="00EC64DD">
      <w:pPr>
        <w:tabs>
          <w:tab w:val="left" w:pos="360"/>
        </w:tabs>
        <w:autoSpaceDE w:val="0"/>
        <w:ind w:left="360" w:hanging="360"/>
        <w:contextualSpacing/>
        <w:jc w:val="both"/>
        <w:rPr>
          <w:bCs/>
          <w:lang w:val="en-GB"/>
        </w:rPr>
      </w:pPr>
    </w:p>
    <w:p w:rsidR="007551D8" w:rsidRPr="007F4E6B" w:rsidRDefault="00A47CBB" w:rsidP="00EC64DD">
      <w:pPr>
        <w:pStyle w:val="ListParagraph"/>
        <w:numPr>
          <w:ilvl w:val="0"/>
          <w:numId w:val="34"/>
        </w:numPr>
        <w:tabs>
          <w:tab w:val="left" w:pos="360"/>
        </w:tabs>
        <w:autoSpaceDE w:val="0"/>
        <w:ind w:left="360"/>
        <w:contextualSpacing/>
        <w:jc w:val="both"/>
        <w:rPr>
          <w:b/>
          <w:bCs/>
          <w:lang w:val="en-GB"/>
        </w:rPr>
      </w:pPr>
      <w:r w:rsidRPr="007F4E6B">
        <w:rPr>
          <w:b/>
          <w:bCs/>
          <w:lang w:val="en-GB"/>
        </w:rPr>
        <w:t>T</w:t>
      </w:r>
      <w:r w:rsidR="007551D8" w:rsidRPr="007F4E6B">
        <w:rPr>
          <w:b/>
          <w:bCs/>
          <w:lang w:val="en-GB"/>
        </w:rPr>
        <w:t>he scope of the Panel’s review</w:t>
      </w:r>
    </w:p>
    <w:p w:rsidR="007551D8" w:rsidRPr="007F4E6B" w:rsidRDefault="007551D8" w:rsidP="00EC64DD">
      <w:pPr>
        <w:tabs>
          <w:tab w:val="left" w:pos="360"/>
        </w:tabs>
        <w:ind w:left="360" w:hanging="360"/>
        <w:jc w:val="both"/>
        <w:rPr>
          <w:bCs/>
          <w:lang w:val="en-GB"/>
        </w:rPr>
      </w:pPr>
    </w:p>
    <w:p w:rsidR="005B71F4" w:rsidRPr="00A5537A" w:rsidRDefault="005B71F4" w:rsidP="00EC64DD">
      <w:pPr>
        <w:numPr>
          <w:ilvl w:val="0"/>
          <w:numId w:val="5"/>
        </w:numPr>
        <w:tabs>
          <w:tab w:val="left" w:pos="360"/>
        </w:tabs>
        <w:suppressAutoHyphens/>
        <w:autoSpaceDE w:val="0"/>
        <w:ind w:left="360"/>
        <w:jc w:val="both"/>
        <w:rPr>
          <w:lang w:val="en-GB"/>
        </w:rPr>
      </w:pPr>
      <w:r w:rsidRPr="007F4E6B">
        <w:rPr>
          <w:bCs/>
          <w:lang w:val="en-GB"/>
        </w:rPr>
        <w:t xml:space="preserve">In determining whether it considers that there has been a violation of Article 2 (procedural limb) of the ECHR, the Panel </w:t>
      </w:r>
      <w:r w:rsidRPr="007F4E6B">
        <w:rPr>
          <w:lang w:val="en-GB"/>
        </w:rPr>
        <w:t xml:space="preserve"> </w:t>
      </w:r>
      <w:r w:rsidRPr="00A5537A">
        <w:rPr>
          <w:lang w:val="en-GB"/>
        </w:rPr>
        <w:t>is mindful of the existing case law, notably that of the European Court of Human Rights. However, the Panel is also aware that the complaint</w:t>
      </w:r>
      <w:r w:rsidR="00B712F3" w:rsidRPr="00A5537A">
        <w:rPr>
          <w:lang w:val="en-GB"/>
        </w:rPr>
        <w:t>s</w:t>
      </w:r>
      <w:r w:rsidRPr="00A5537A">
        <w:rPr>
          <w:lang w:val="en-GB"/>
        </w:rPr>
        <w:t xml:space="preserve"> before it differ in some significant ways from those brought before that Court. First, the respondent is not a State but an interim international territorial administration mandated to exercise tempor</w:t>
      </w:r>
      <w:r w:rsidR="00570D6A">
        <w:rPr>
          <w:lang w:val="en-GB"/>
        </w:rPr>
        <w:t xml:space="preserve">ary responsibilities in Kosovo. </w:t>
      </w:r>
      <w:r w:rsidRPr="00A5537A">
        <w:rPr>
          <w:lang w:val="en-GB"/>
        </w:rPr>
        <w:t xml:space="preserve">No suspicion attaches to UNMIK with respect to the substantive obligations under </w:t>
      </w:r>
      <w:r w:rsidR="002B3D61" w:rsidRPr="00A5537A">
        <w:rPr>
          <w:lang w:val="en-GB"/>
        </w:rPr>
        <w:t xml:space="preserve">Article 2 of the </w:t>
      </w:r>
      <w:r w:rsidRPr="00A5537A">
        <w:rPr>
          <w:lang w:val="en-GB"/>
        </w:rPr>
        <w:t xml:space="preserve">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 </w:t>
      </w:r>
    </w:p>
    <w:p w:rsidR="005B71F4" w:rsidRPr="00A5537A" w:rsidRDefault="005B71F4" w:rsidP="00EC64DD">
      <w:pPr>
        <w:tabs>
          <w:tab w:val="left" w:pos="360"/>
        </w:tabs>
        <w:autoSpaceDE w:val="0"/>
        <w:ind w:left="360" w:hanging="360"/>
        <w:jc w:val="both"/>
        <w:rPr>
          <w:bCs/>
          <w:lang w:val="en-GB"/>
        </w:rPr>
      </w:pPr>
    </w:p>
    <w:p w:rsidR="005B71F4" w:rsidRPr="00A5537A" w:rsidRDefault="005B71F4" w:rsidP="00EC64DD">
      <w:pPr>
        <w:numPr>
          <w:ilvl w:val="0"/>
          <w:numId w:val="5"/>
        </w:numPr>
        <w:tabs>
          <w:tab w:val="left" w:pos="360"/>
        </w:tabs>
        <w:suppressAutoHyphens/>
        <w:autoSpaceDE w:val="0"/>
        <w:ind w:left="360"/>
        <w:jc w:val="both"/>
        <w:rPr>
          <w:bCs/>
          <w:lang w:val="en-GB"/>
        </w:rPr>
      </w:pPr>
      <w:r w:rsidRPr="00A5537A">
        <w:rPr>
          <w:bCs/>
          <w:lang w:val="en-GB"/>
        </w:rPr>
        <w:t>Before turning to the examination of the merits of the complaint, the Panel needs to clarify the scope of its review.</w:t>
      </w:r>
    </w:p>
    <w:p w:rsidR="005B71F4" w:rsidRPr="00A5537A" w:rsidRDefault="005B71F4" w:rsidP="00EC64DD">
      <w:pPr>
        <w:tabs>
          <w:tab w:val="left" w:pos="360"/>
        </w:tabs>
        <w:autoSpaceDE w:val="0"/>
        <w:ind w:left="360" w:hanging="360"/>
        <w:jc w:val="both"/>
        <w:rPr>
          <w:bCs/>
          <w:lang w:val="en-GB"/>
        </w:rPr>
      </w:pPr>
    </w:p>
    <w:p w:rsidR="005B71F4" w:rsidRPr="00A5537A" w:rsidRDefault="005B71F4" w:rsidP="00EC64DD">
      <w:pPr>
        <w:numPr>
          <w:ilvl w:val="0"/>
          <w:numId w:val="5"/>
        </w:numPr>
        <w:tabs>
          <w:tab w:val="left" w:pos="360"/>
        </w:tabs>
        <w:suppressAutoHyphens/>
        <w:autoSpaceDE w:val="0"/>
        <w:ind w:left="360"/>
        <w:jc w:val="both"/>
      </w:pPr>
      <w:bookmarkStart w:id="11" w:name="_Ref347321462"/>
      <w:bookmarkStart w:id="12" w:name="_Ref317418022"/>
      <w:r w:rsidRPr="00A5537A">
        <w:rPr>
          <w:color w:val="000000"/>
          <w:lang w:val="en-GB" w:eastAsia="nl-BE"/>
        </w:rPr>
        <w:t xml:space="preserve">The </w:t>
      </w:r>
      <w:r w:rsidRPr="00A5537A">
        <w:rPr>
          <w:bCs/>
          <w:lang w:val="en-GB"/>
        </w:rPr>
        <w:t>Panel</w:t>
      </w:r>
      <w:r w:rsidRPr="00A5537A">
        <w:rPr>
          <w:color w:val="000000"/>
          <w:lang w:val="en-GB" w:eastAsia="nl-BE"/>
        </w:rPr>
        <w:t xml:space="preserve"> notes that with the adoption of the UNMIK Regulation No. 1999/1 on 25 July 1999 UNMIK undertook an obligation to observe internationally recognised human </w:t>
      </w:r>
      <w:r w:rsidRPr="00A5537A">
        <w:rPr>
          <w:bCs/>
          <w:lang w:val="en-GB"/>
        </w:rPr>
        <w:t>rights</w:t>
      </w:r>
      <w:r w:rsidRPr="00A5537A">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A5537A">
        <w:rPr>
          <w:lang w:val="en-GB"/>
        </w:rPr>
        <w:t>: the Universal Declaration of Human Rights, the European Convention on Human Rights and Protocols thereto, the International Covenant on Civil and Political Rights</w:t>
      </w:r>
      <w:r w:rsidR="009F2F33" w:rsidRPr="00A5537A">
        <w:rPr>
          <w:lang w:val="en-GB"/>
        </w:rPr>
        <w:t xml:space="preserve"> (ICCPR)</w:t>
      </w:r>
      <w:r w:rsidRPr="00A5537A">
        <w:rPr>
          <w:lang w:val="en-GB"/>
        </w:rPr>
        <w:t xml:space="preserve">, the International Covenant on Economic, Social and Cultural Rights, the </w:t>
      </w:r>
      <w:r w:rsidR="009F2F33" w:rsidRPr="00A5537A">
        <w:rPr>
          <w:lang w:val="en-GB"/>
        </w:rPr>
        <w:t xml:space="preserve">International </w:t>
      </w:r>
      <w:r w:rsidRPr="00A5537A">
        <w:rPr>
          <w:lang w:val="en-GB"/>
        </w:rPr>
        <w:t xml:space="preserve">Convention on the Elimination of All Forms of Racial Discrimination, the Convention on the Elimination of All Forms of Discrimination Against Women, </w:t>
      </w:r>
      <w:hyperlink r:id="rId10" w:history="1">
        <w:r w:rsidRPr="00A5537A">
          <w:rPr>
            <w:rStyle w:val="Hyperlink"/>
            <w:color w:val="auto"/>
            <w:u w:val="none"/>
            <w:lang w:val="en-GB"/>
          </w:rPr>
          <w:t>the Convention Against Torture and Other Cruel, Inhuman or Degrading Treatment or Punishment</w:t>
        </w:r>
      </w:hyperlink>
      <w:r w:rsidRPr="00A5537A">
        <w:rPr>
          <w:lang w:val="en-GB"/>
        </w:rPr>
        <w:t xml:space="preserve">, the </w:t>
      </w:r>
      <w:r w:rsidR="00A7361B" w:rsidRPr="00A5537A">
        <w:t>Convention on the Rights of the Child.</w:t>
      </w:r>
      <w:bookmarkEnd w:id="11"/>
    </w:p>
    <w:p w:rsidR="00A7361B" w:rsidRPr="00A5537A" w:rsidRDefault="00A7361B" w:rsidP="00EC64DD">
      <w:pPr>
        <w:tabs>
          <w:tab w:val="left" w:pos="360"/>
        </w:tabs>
        <w:suppressAutoHyphens/>
        <w:autoSpaceDE w:val="0"/>
        <w:ind w:left="360" w:hanging="360"/>
        <w:jc w:val="both"/>
        <w:rPr>
          <w:lang w:val="en-GB"/>
        </w:rPr>
      </w:pPr>
      <w:bookmarkStart w:id="13" w:name="_Ref317493050"/>
    </w:p>
    <w:p w:rsidR="005B71F4" w:rsidRPr="00A5537A" w:rsidRDefault="005B71F4" w:rsidP="00EC64DD">
      <w:pPr>
        <w:numPr>
          <w:ilvl w:val="0"/>
          <w:numId w:val="5"/>
        </w:numPr>
        <w:tabs>
          <w:tab w:val="left" w:pos="360"/>
        </w:tabs>
        <w:suppressAutoHyphens/>
        <w:autoSpaceDE w:val="0"/>
        <w:ind w:left="360"/>
        <w:jc w:val="both"/>
        <w:rPr>
          <w:lang w:val="en-GB"/>
        </w:rPr>
      </w:pPr>
      <w:bookmarkStart w:id="14" w:name="_Ref347495661"/>
      <w:r w:rsidRPr="00A5537A">
        <w:rPr>
          <w:rFonts w:cs="CAGLHH+TimesNewRoman"/>
          <w:color w:val="000000"/>
          <w:lang w:val="en-GB"/>
        </w:rPr>
        <w:t xml:space="preserve">The Panel also notes that Section 1.2 of </w:t>
      </w:r>
      <w:r w:rsidRPr="00A5537A">
        <w:rPr>
          <w:bCs/>
          <w:lang w:val="en-GB"/>
        </w:rPr>
        <w:t xml:space="preserve">UNMIK Regulation No. 2006/12 of 23 March 2006 on the Establishment of the Human Rights Advisory Panel </w:t>
      </w:r>
      <w:r w:rsidRPr="00A5537A">
        <w:rPr>
          <w:rFonts w:cs="CAGLHH+TimesNewRoman"/>
          <w:color w:val="000000"/>
          <w:lang w:val="en-GB"/>
        </w:rPr>
        <w:t xml:space="preserve">provides that the Panel “shall examine complaints from any person or group of individuals claiming to be the victim of a violation by UNMIK of (their) human rights”. It </w:t>
      </w:r>
      <w:r w:rsidRPr="00A5537A">
        <w:rPr>
          <w:bCs/>
          <w:lang w:val="en-GB"/>
        </w:rPr>
        <w:t>follows</w:t>
      </w:r>
      <w:r w:rsidRPr="00A5537A">
        <w:rPr>
          <w:rFonts w:cs="CAGLHH+TimesNewRoman"/>
          <w:color w:val="000000"/>
          <w:lang w:val="en-GB"/>
        </w:rPr>
        <w:t xml:space="preserve"> that only acts o</w:t>
      </w:r>
      <w:r w:rsidR="00B712F3" w:rsidRPr="00A5537A">
        <w:rPr>
          <w:rFonts w:cs="CAGLHH+TimesNewRoman"/>
          <w:color w:val="000000"/>
          <w:lang w:val="en-GB"/>
        </w:rPr>
        <w:t>r</w:t>
      </w:r>
      <w:r w:rsidRPr="00A5537A">
        <w:rPr>
          <w:rFonts w:cs="CAGLHH+TimesNewRoman"/>
          <w:color w:val="000000"/>
          <w:lang w:val="en-GB"/>
        </w:rPr>
        <w:t xml:space="preserve"> omissions attributable to UNMIK fall within the jurisdiction </w:t>
      </w:r>
      <w:proofErr w:type="spellStart"/>
      <w:r w:rsidRPr="00A5537A">
        <w:rPr>
          <w:rFonts w:cs="CAGLHH+TimesNewRoman"/>
          <w:i/>
          <w:color w:val="000000"/>
          <w:lang w:val="en-GB"/>
        </w:rPr>
        <w:t>ratione</w:t>
      </w:r>
      <w:proofErr w:type="spellEnd"/>
      <w:r w:rsidRPr="00A5537A">
        <w:rPr>
          <w:rFonts w:cs="CAGLHH+TimesNewRoman"/>
          <w:i/>
          <w:color w:val="000000"/>
          <w:lang w:val="en-GB"/>
        </w:rPr>
        <w:t xml:space="preserve"> personae</w:t>
      </w:r>
      <w:r w:rsidRPr="00A5537A">
        <w:rPr>
          <w:rFonts w:cs="CAGLHH+TimesNewRoman"/>
          <w:color w:val="000000"/>
          <w:lang w:val="en-GB"/>
        </w:rPr>
        <w:t xml:space="preserve"> of the Panel. In this respect, it should be noted, as stated above, that as of </w:t>
      </w:r>
      <w:r w:rsidRPr="00A5537A">
        <w:rPr>
          <w:lang w:val="en-GB"/>
        </w:rPr>
        <w:t xml:space="preserve">9 December 2008, UNMIK </w:t>
      </w:r>
      <w:r w:rsidRPr="00A5537A">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proofErr w:type="spellStart"/>
      <w:r w:rsidRPr="00A5537A">
        <w:rPr>
          <w:bCs/>
          <w:i/>
          <w:lang w:val="en-GB"/>
        </w:rPr>
        <w:t>ratione</w:t>
      </w:r>
      <w:proofErr w:type="spellEnd"/>
      <w:r w:rsidRPr="00A5537A">
        <w:rPr>
          <w:bCs/>
          <w:i/>
          <w:lang w:val="en-GB"/>
        </w:rPr>
        <w:t xml:space="preserve"> personae</w:t>
      </w:r>
      <w:r w:rsidRPr="00A5537A">
        <w:rPr>
          <w:bCs/>
          <w:lang w:val="en-GB"/>
        </w:rPr>
        <w:t xml:space="preserve"> of the Panel.</w:t>
      </w:r>
      <w:bookmarkEnd w:id="13"/>
      <w:bookmarkEnd w:id="14"/>
    </w:p>
    <w:p w:rsidR="005B71F4" w:rsidRPr="00A5537A" w:rsidRDefault="005B71F4" w:rsidP="00EC64DD">
      <w:pPr>
        <w:pStyle w:val="ListParagraph"/>
        <w:tabs>
          <w:tab w:val="left" w:pos="360"/>
        </w:tabs>
        <w:ind w:left="360" w:hanging="360"/>
        <w:rPr>
          <w:lang w:val="en-GB"/>
        </w:rPr>
      </w:pPr>
    </w:p>
    <w:p w:rsidR="00470CE7" w:rsidRPr="00470CE7" w:rsidRDefault="005B71F4" w:rsidP="00470CE7">
      <w:pPr>
        <w:numPr>
          <w:ilvl w:val="0"/>
          <w:numId w:val="5"/>
        </w:numPr>
        <w:tabs>
          <w:tab w:val="left" w:pos="360"/>
        </w:tabs>
        <w:suppressAutoHyphens/>
        <w:autoSpaceDE w:val="0"/>
        <w:ind w:left="360"/>
        <w:jc w:val="both"/>
        <w:rPr>
          <w:bCs/>
          <w:lang w:val="en-GB"/>
        </w:rPr>
      </w:pPr>
      <w:bookmarkStart w:id="15" w:name="_Ref353794065"/>
      <w:r w:rsidRPr="00A5537A">
        <w:rPr>
          <w:rFonts w:cs="CAGLHH+TimesNewRoman"/>
          <w:color w:val="000000"/>
          <w:lang w:val="en-GB"/>
        </w:rPr>
        <w:t xml:space="preserve">Likewise, the Panel emphasises that, as far as its jurisdiction </w:t>
      </w:r>
      <w:proofErr w:type="spellStart"/>
      <w:r w:rsidRPr="00A5537A">
        <w:rPr>
          <w:rFonts w:cs="CAGLHH+TimesNewRoman"/>
          <w:i/>
          <w:color w:val="000000"/>
          <w:lang w:val="en-GB"/>
        </w:rPr>
        <w:t>ratione</w:t>
      </w:r>
      <w:proofErr w:type="spellEnd"/>
      <w:r w:rsidRPr="00A5537A">
        <w:rPr>
          <w:rFonts w:cs="CAGLHH+TimesNewRoman"/>
          <w:i/>
          <w:color w:val="000000"/>
          <w:lang w:val="en-GB"/>
        </w:rPr>
        <w:t xml:space="preserve"> </w:t>
      </w:r>
      <w:proofErr w:type="spellStart"/>
      <w:r w:rsidRPr="00A5537A">
        <w:rPr>
          <w:rFonts w:cs="CAGLHH+TimesNewRoman"/>
          <w:i/>
          <w:color w:val="000000"/>
          <w:lang w:val="en-GB"/>
        </w:rPr>
        <w:t>materiae</w:t>
      </w:r>
      <w:proofErr w:type="spellEnd"/>
      <w:r w:rsidRPr="00A5537A">
        <w:rPr>
          <w:rFonts w:cs="CAGLHH+TimesNewRoman"/>
          <w:color w:val="000000"/>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w:t>
      </w:r>
      <w:r w:rsidR="00B712F3" w:rsidRPr="00A5537A">
        <w:rPr>
          <w:rFonts w:cs="CAGLHH+TimesNewRoman"/>
          <w:color w:val="000000"/>
          <w:lang w:val="en-GB"/>
        </w:rPr>
        <w:t xml:space="preserve">see </w:t>
      </w:r>
      <w:r w:rsidRPr="00A5537A">
        <w:rPr>
          <w:rFonts w:cs="CAGLHH+TimesNewRoman"/>
          <w:color w:val="000000"/>
          <w:lang w:val="en-GB"/>
        </w:rPr>
        <w:t>§</w:t>
      </w:r>
      <w:r w:rsidR="00B712F3" w:rsidRPr="00A5537A">
        <w:rPr>
          <w:rFonts w:cs="CAGLHH+TimesNewRoman"/>
          <w:color w:val="000000"/>
          <w:lang w:val="en-GB"/>
        </w:rPr>
        <w:t xml:space="preserve"> </w:t>
      </w:r>
      <w:r w:rsidR="00D60B4A">
        <w:t>34</w:t>
      </w:r>
      <w:r w:rsidRPr="00A5537A">
        <w:rPr>
          <w:rFonts w:cs="CAGLHH+TimesNewRoman"/>
          <w:color w:val="000000"/>
          <w:lang w:val="en-GB"/>
        </w:rPr>
        <w:t>).</w:t>
      </w:r>
      <w:r w:rsidRPr="00A5537A">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End w:id="15"/>
    </w:p>
    <w:p w:rsidR="005B71F4" w:rsidRPr="00A5537A" w:rsidRDefault="005B71F4" w:rsidP="00EC64DD">
      <w:pPr>
        <w:pStyle w:val="ListParagraph"/>
        <w:tabs>
          <w:tab w:val="left" w:pos="360"/>
        </w:tabs>
        <w:ind w:left="360" w:hanging="360"/>
        <w:rPr>
          <w:bCs/>
          <w:lang w:val="en-GB"/>
        </w:rPr>
      </w:pPr>
    </w:p>
    <w:p w:rsidR="005B71F4" w:rsidRPr="00A5537A" w:rsidRDefault="005B71F4" w:rsidP="00620B0C">
      <w:pPr>
        <w:numPr>
          <w:ilvl w:val="0"/>
          <w:numId w:val="5"/>
        </w:numPr>
        <w:tabs>
          <w:tab w:val="left" w:pos="360"/>
          <w:tab w:val="left" w:pos="630"/>
          <w:tab w:val="left" w:pos="2790"/>
        </w:tabs>
        <w:suppressAutoHyphens/>
        <w:autoSpaceDE w:val="0"/>
        <w:ind w:left="360"/>
        <w:jc w:val="both"/>
        <w:rPr>
          <w:bCs/>
          <w:lang w:val="en-GB"/>
        </w:rPr>
      </w:pPr>
      <w:bookmarkStart w:id="16" w:name="_Ref346123885"/>
      <w:r w:rsidRPr="00A5537A">
        <w:rPr>
          <w:bCs/>
          <w:lang w:val="en-GB"/>
        </w:rPr>
        <w:t>The Panel further notes that Section 2 of UNMIK Regulation No. 2006/12 provides that t</w:t>
      </w:r>
      <w:r w:rsidRPr="00A5537A">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proofErr w:type="spellStart"/>
      <w:r w:rsidRPr="00A5537A">
        <w:rPr>
          <w:rFonts w:cs="CAGLHH+TimesNewRoman"/>
          <w:i/>
          <w:color w:val="000000"/>
          <w:lang w:val="en-GB"/>
        </w:rPr>
        <w:t>ratione</w:t>
      </w:r>
      <w:proofErr w:type="spellEnd"/>
      <w:r w:rsidRPr="00A5537A">
        <w:rPr>
          <w:rFonts w:cs="CAGLHH+TimesNewRoman"/>
          <w:i/>
          <w:color w:val="000000"/>
          <w:lang w:val="en-GB"/>
        </w:rPr>
        <w:t xml:space="preserve"> </w:t>
      </w:r>
      <w:proofErr w:type="spellStart"/>
      <w:r w:rsidRPr="00A5537A">
        <w:rPr>
          <w:rFonts w:cs="CAGLHH+TimesNewRoman"/>
          <w:i/>
          <w:color w:val="000000"/>
          <w:lang w:val="en-GB"/>
        </w:rPr>
        <w:t>temporis</w:t>
      </w:r>
      <w:proofErr w:type="spellEnd"/>
      <w:r w:rsidRPr="00A5537A">
        <w:rPr>
          <w:rFonts w:cs="CAGLHH+TimesNewRoman"/>
          <w:color w:val="000000"/>
          <w:lang w:val="en-GB"/>
        </w:rPr>
        <w:t xml:space="preserve"> of the Panel. However, to the extent that such events gave rise to a continuing situation, the Panel has jurisdiction to examine complaints relating to that situation</w:t>
      </w:r>
      <w:bookmarkEnd w:id="12"/>
      <w:r w:rsidRPr="00A5537A">
        <w:rPr>
          <w:rFonts w:cs="CAGLHH+TimesNewRoman"/>
          <w:color w:val="000000"/>
          <w:lang w:val="en-GB"/>
        </w:rPr>
        <w:t xml:space="preserve"> (see European Court of Human Rights (</w:t>
      </w:r>
      <w:proofErr w:type="spellStart"/>
      <w:r w:rsidRPr="00A5537A">
        <w:rPr>
          <w:rFonts w:cs="CAGLHH+TimesNewRoman"/>
          <w:color w:val="000000"/>
          <w:lang w:val="en-GB"/>
        </w:rPr>
        <w:t>ECtHR</w:t>
      </w:r>
      <w:proofErr w:type="spellEnd"/>
      <w:r w:rsidRPr="00A5537A">
        <w:rPr>
          <w:rFonts w:cs="CAGLHH+TimesNewRoman"/>
          <w:color w:val="000000"/>
          <w:lang w:val="en-GB"/>
        </w:rPr>
        <w:t>)</w:t>
      </w:r>
      <w:r w:rsidR="00C81172" w:rsidRPr="00A5537A">
        <w:rPr>
          <w:rFonts w:cs="CAGLHH+TimesNewRoman"/>
          <w:color w:val="000000"/>
          <w:lang w:val="en-GB"/>
        </w:rPr>
        <w:t>,</w:t>
      </w:r>
      <w:r w:rsidRPr="00A5537A">
        <w:rPr>
          <w:rFonts w:cs="CAGLHH+TimesNewRoman"/>
          <w:color w:val="000000"/>
          <w:lang w:val="en-GB"/>
        </w:rPr>
        <w:t xml:space="preserve"> Grand Chamber, </w:t>
      </w:r>
      <w:proofErr w:type="spellStart"/>
      <w:r w:rsidRPr="00A5537A">
        <w:rPr>
          <w:rFonts w:cs="CAGLHH+TimesNewRoman"/>
          <w:i/>
          <w:color w:val="000000"/>
          <w:lang w:val="en-GB"/>
        </w:rPr>
        <w:t>Varnava</w:t>
      </w:r>
      <w:proofErr w:type="spellEnd"/>
      <w:r w:rsidRPr="00A5537A">
        <w:rPr>
          <w:rFonts w:cs="CAGLHH+TimesNewRoman"/>
          <w:i/>
          <w:color w:val="000000"/>
          <w:lang w:val="en-GB"/>
        </w:rPr>
        <w:t xml:space="preserve"> and Others v. Turkey</w:t>
      </w:r>
      <w:r w:rsidRPr="00A5537A">
        <w:rPr>
          <w:rFonts w:cs="CAGLHH+TimesNewRoman"/>
          <w:color w:val="000000"/>
          <w:lang w:val="en-GB"/>
        </w:rPr>
        <w:t>, nos. 16064/90</w:t>
      </w:r>
      <w:r w:rsidR="009F2F33" w:rsidRPr="00A5537A">
        <w:rPr>
          <w:rFonts w:cs="CAGLHH+TimesNewRoman"/>
          <w:color w:val="000000"/>
          <w:lang w:val="en-GB"/>
        </w:rPr>
        <w:t xml:space="preserve"> and others</w:t>
      </w:r>
      <w:r w:rsidRPr="00A5537A">
        <w:rPr>
          <w:rFonts w:cs="CAGLHH+TimesNewRoman"/>
          <w:color w:val="000000"/>
          <w:lang w:val="en-GB"/>
        </w:rPr>
        <w:t xml:space="preserve">, judgment of 18 September 2009, §§ 147-149; </w:t>
      </w:r>
      <w:proofErr w:type="spellStart"/>
      <w:r w:rsidRPr="00A5537A">
        <w:rPr>
          <w:rFonts w:cs="CAGLHH+TimesNewRoman"/>
          <w:color w:val="000000"/>
          <w:lang w:val="en-GB"/>
        </w:rPr>
        <w:t>ECtHR</w:t>
      </w:r>
      <w:proofErr w:type="spellEnd"/>
      <w:r w:rsidRPr="00A5537A">
        <w:rPr>
          <w:rFonts w:cs="CAGLHH+TimesNewRoman"/>
          <w:color w:val="000000"/>
          <w:lang w:val="en-GB"/>
        </w:rPr>
        <w:t xml:space="preserve">, </w:t>
      </w:r>
      <w:r w:rsidRPr="00A5537A">
        <w:rPr>
          <w:rFonts w:cs="CAGLHH+TimesNewRoman"/>
          <w:i/>
          <w:color w:val="000000"/>
          <w:lang w:val="en-GB"/>
        </w:rPr>
        <w:t>Cyprus v. Turkey</w:t>
      </w:r>
      <w:r w:rsidR="00FB157F" w:rsidRPr="00A5537A">
        <w:rPr>
          <w:rFonts w:cs="CAGLHH+TimesNewRoman"/>
          <w:i/>
          <w:color w:val="000000"/>
          <w:lang w:val="en-GB"/>
        </w:rPr>
        <w:t xml:space="preserve"> </w:t>
      </w:r>
      <w:r w:rsidR="00FB157F" w:rsidRPr="00A5537A">
        <w:rPr>
          <w:rFonts w:cs="CAGLHH+TimesNewRoman"/>
          <w:color w:val="000000"/>
          <w:lang w:val="en-GB"/>
        </w:rPr>
        <w:t>[GC]</w:t>
      </w:r>
      <w:r w:rsidRPr="00A5537A">
        <w:rPr>
          <w:rFonts w:cs="CAGLHH+TimesNewRoman"/>
          <w:color w:val="000000"/>
          <w:lang w:val="en-GB"/>
        </w:rPr>
        <w:t xml:space="preserve"> no. </w:t>
      </w:r>
      <w:r w:rsidRPr="00A5537A">
        <w:rPr>
          <w:rStyle w:val="s85f22697"/>
          <w:lang w:val="en-GB"/>
        </w:rPr>
        <w:t>25781/94, judgment of 10 May 2011,</w:t>
      </w:r>
      <w:r w:rsidRPr="00A5537A">
        <w:rPr>
          <w:rFonts w:cs="CAGLHH+TimesNewRoman"/>
          <w:color w:val="000000"/>
          <w:lang w:val="en-GB"/>
        </w:rPr>
        <w:t xml:space="preserve"> § 136</w:t>
      </w:r>
      <w:r w:rsidR="00FB157F" w:rsidRPr="00A5537A">
        <w:rPr>
          <w:rFonts w:cs="CAGLHH+TimesNewRoman"/>
          <w:color w:val="000000"/>
          <w:lang w:val="en-GB"/>
        </w:rPr>
        <w:t>, ECHR 2001-IV</w:t>
      </w:r>
      <w:r w:rsidRPr="00A5537A">
        <w:rPr>
          <w:rFonts w:cs="CAGLHH+TimesNewRoman"/>
          <w:color w:val="000000"/>
          <w:lang w:val="en-GB"/>
        </w:rPr>
        <w:t>).</w:t>
      </w:r>
      <w:bookmarkEnd w:id="16"/>
      <w:r w:rsidRPr="00A5537A">
        <w:rPr>
          <w:rFonts w:cs="CAGLHH+TimesNewRoman"/>
          <w:color w:val="000000"/>
          <w:lang w:val="en-GB"/>
        </w:rPr>
        <w:t xml:space="preserve"> </w:t>
      </w:r>
    </w:p>
    <w:p w:rsidR="002E5F91" w:rsidRPr="00A5537A" w:rsidRDefault="002E5F91" w:rsidP="00EC64DD">
      <w:pPr>
        <w:pStyle w:val="ListParagraph"/>
        <w:tabs>
          <w:tab w:val="left" w:pos="360"/>
        </w:tabs>
        <w:ind w:left="360" w:hanging="360"/>
        <w:rPr>
          <w:lang w:val="en-GB"/>
        </w:rPr>
      </w:pPr>
    </w:p>
    <w:p w:rsidR="00B712F3" w:rsidRPr="00A5537A" w:rsidRDefault="00B712F3" w:rsidP="00EC64DD">
      <w:pPr>
        <w:pStyle w:val="ListParagraph"/>
        <w:numPr>
          <w:ilvl w:val="0"/>
          <w:numId w:val="34"/>
        </w:numPr>
        <w:tabs>
          <w:tab w:val="left" w:pos="360"/>
        </w:tabs>
        <w:autoSpaceDE w:val="0"/>
        <w:ind w:left="360"/>
        <w:contextualSpacing/>
        <w:jc w:val="both"/>
        <w:rPr>
          <w:b/>
          <w:lang w:val="en-GB"/>
        </w:rPr>
      </w:pPr>
      <w:r w:rsidRPr="00A5537A">
        <w:rPr>
          <w:b/>
          <w:lang w:val="en-GB"/>
        </w:rPr>
        <w:t xml:space="preserve">Alleged violation of </w:t>
      </w:r>
      <w:r w:rsidRPr="00A5537A">
        <w:rPr>
          <w:b/>
        </w:rPr>
        <w:t>the procedural obligation under</w:t>
      </w:r>
      <w:r w:rsidRPr="00A5537A">
        <w:rPr>
          <w:b/>
          <w:i/>
        </w:rPr>
        <w:t xml:space="preserve"> </w:t>
      </w:r>
      <w:r w:rsidRPr="00A5537A">
        <w:rPr>
          <w:b/>
          <w:lang w:val="en-GB"/>
        </w:rPr>
        <w:t>Article 2 of the ECHR</w:t>
      </w:r>
    </w:p>
    <w:p w:rsidR="009B4D35" w:rsidRPr="00A5537A" w:rsidRDefault="009B4D35" w:rsidP="00EC64DD">
      <w:pPr>
        <w:pStyle w:val="ListParagraph"/>
        <w:tabs>
          <w:tab w:val="left" w:pos="360"/>
        </w:tabs>
        <w:suppressAutoHyphens w:val="0"/>
        <w:autoSpaceDE w:val="0"/>
        <w:ind w:left="360" w:hanging="360"/>
        <w:contextualSpacing/>
        <w:jc w:val="both"/>
        <w:rPr>
          <w:b/>
          <w:bCs/>
          <w:lang w:val="en-GB"/>
        </w:rPr>
      </w:pPr>
    </w:p>
    <w:p w:rsidR="007113B1" w:rsidRPr="00A5537A" w:rsidRDefault="008D136A" w:rsidP="00EC64DD">
      <w:pPr>
        <w:numPr>
          <w:ilvl w:val="0"/>
          <w:numId w:val="5"/>
        </w:numPr>
        <w:tabs>
          <w:tab w:val="left" w:pos="360"/>
        </w:tabs>
        <w:suppressAutoHyphens/>
        <w:autoSpaceDE w:val="0"/>
        <w:ind w:left="360"/>
        <w:jc w:val="both"/>
        <w:rPr>
          <w:bCs/>
          <w:lang w:val="en-GB"/>
        </w:rPr>
      </w:pPr>
      <w:r w:rsidRPr="00A5537A">
        <w:rPr>
          <w:bCs/>
          <w:lang w:val="en-GB"/>
        </w:rPr>
        <w:t>T</w:t>
      </w:r>
      <w:r w:rsidR="00887FE3" w:rsidRPr="00A5537A">
        <w:rPr>
          <w:bCs/>
          <w:lang w:val="en-GB"/>
        </w:rPr>
        <w:t xml:space="preserve">he </w:t>
      </w:r>
      <w:r w:rsidR="001B7E46" w:rsidRPr="00A5537A">
        <w:rPr>
          <w:bCs/>
          <w:lang w:val="en-GB"/>
        </w:rPr>
        <w:t xml:space="preserve">Panel </w:t>
      </w:r>
      <w:r w:rsidR="009B4D35" w:rsidRPr="00A5537A">
        <w:rPr>
          <w:bCs/>
          <w:lang w:val="en-GB"/>
        </w:rPr>
        <w:t xml:space="preserve">considers </w:t>
      </w:r>
      <w:r w:rsidR="001B7E46" w:rsidRPr="00A5537A">
        <w:rPr>
          <w:bCs/>
          <w:lang w:val="en-GB"/>
        </w:rPr>
        <w:t>that the complainant invoke</w:t>
      </w:r>
      <w:r w:rsidR="009B4D35" w:rsidRPr="00A5537A">
        <w:rPr>
          <w:bCs/>
          <w:lang w:val="en-GB"/>
        </w:rPr>
        <w:t>s</w:t>
      </w:r>
      <w:r w:rsidR="001B7E46" w:rsidRPr="00A5537A">
        <w:rPr>
          <w:bCs/>
          <w:lang w:val="en-GB"/>
        </w:rPr>
        <w:t xml:space="preserve"> a violation of the </w:t>
      </w:r>
      <w:r w:rsidR="009B4D35" w:rsidRPr="00A5537A">
        <w:rPr>
          <w:bCs/>
          <w:lang w:val="en-GB"/>
        </w:rPr>
        <w:t>procedural obligation stemming from the right to life</w:t>
      </w:r>
      <w:r w:rsidR="001B7E46" w:rsidRPr="00A5537A">
        <w:rPr>
          <w:bCs/>
          <w:lang w:val="en-GB"/>
        </w:rPr>
        <w:t>, guaranteed by Article 2 of the European Convention on Human Rights (ECHR)</w:t>
      </w:r>
      <w:r w:rsidR="009B4D35" w:rsidRPr="00A5537A">
        <w:rPr>
          <w:bCs/>
          <w:lang w:val="en-GB"/>
        </w:rPr>
        <w:t xml:space="preserve"> in that </w:t>
      </w:r>
      <w:r w:rsidR="009B4D35" w:rsidRPr="00A5537A">
        <w:rPr>
          <w:bCs/>
        </w:rPr>
        <w:t xml:space="preserve">UNMIK Police did not conduct an </w:t>
      </w:r>
      <w:r w:rsidR="00E76559">
        <w:rPr>
          <w:bCs/>
        </w:rPr>
        <w:t xml:space="preserve">effective investigation into </w:t>
      </w:r>
      <w:r w:rsidR="00E76559" w:rsidRPr="007F4E6B">
        <w:rPr>
          <w:bCs/>
        </w:rPr>
        <w:t>her</w:t>
      </w:r>
      <w:r w:rsidR="009B4D35" w:rsidRPr="007F4E6B">
        <w:rPr>
          <w:bCs/>
        </w:rPr>
        <w:t xml:space="preserve"> </w:t>
      </w:r>
      <w:r w:rsidR="00E76559" w:rsidRPr="007F4E6B">
        <w:rPr>
          <w:bCs/>
        </w:rPr>
        <w:t>husband</w:t>
      </w:r>
      <w:r w:rsidR="009B4D35" w:rsidRPr="007F4E6B">
        <w:rPr>
          <w:bCs/>
        </w:rPr>
        <w:t xml:space="preserve">’s </w:t>
      </w:r>
      <w:r w:rsidR="00E76559" w:rsidRPr="007F4E6B">
        <w:rPr>
          <w:bCs/>
        </w:rPr>
        <w:t xml:space="preserve">abduction </w:t>
      </w:r>
      <w:r w:rsidR="009B4D35" w:rsidRPr="007F4E6B">
        <w:rPr>
          <w:bCs/>
        </w:rPr>
        <w:t xml:space="preserve">and </w:t>
      </w:r>
      <w:r w:rsidR="001D3666" w:rsidRPr="007F4E6B">
        <w:rPr>
          <w:bCs/>
        </w:rPr>
        <w:t>killing</w:t>
      </w:r>
      <w:r w:rsidR="005551E0" w:rsidRPr="007F4E6B">
        <w:rPr>
          <w:lang w:val="en-GB"/>
        </w:rPr>
        <w:t>.</w:t>
      </w:r>
    </w:p>
    <w:p w:rsidR="008655D3" w:rsidRPr="000F336F" w:rsidRDefault="008655D3" w:rsidP="00EC64DD">
      <w:pPr>
        <w:tabs>
          <w:tab w:val="left" w:pos="360"/>
        </w:tabs>
        <w:suppressAutoHyphens/>
        <w:autoSpaceDE w:val="0"/>
        <w:ind w:left="360" w:hanging="360"/>
        <w:jc w:val="both"/>
        <w:rPr>
          <w:b/>
          <w:bCs/>
        </w:rPr>
      </w:pPr>
    </w:p>
    <w:p w:rsidR="00B21A61" w:rsidRPr="00A5537A" w:rsidRDefault="00B21A61" w:rsidP="00EC64DD">
      <w:pPr>
        <w:numPr>
          <w:ilvl w:val="1"/>
          <w:numId w:val="5"/>
        </w:numPr>
        <w:tabs>
          <w:tab w:val="clear" w:pos="-720"/>
          <w:tab w:val="left" w:pos="360"/>
          <w:tab w:val="num" w:pos="630"/>
        </w:tabs>
        <w:suppressAutoHyphens/>
        <w:autoSpaceDE w:val="0"/>
        <w:ind w:left="360"/>
        <w:jc w:val="both"/>
        <w:rPr>
          <w:b/>
          <w:bCs/>
          <w:lang w:val="en-GB"/>
        </w:rPr>
      </w:pPr>
      <w:r w:rsidRPr="00A5537A">
        <w:rPr>
          <w:b/>
          <w:color w:val="000000"/>
        </w:rPr>
        <w:t>T</w:t>
      </w:r>
      <w:r w:rsidRPr="00A5537A">
        <w:rPr>
          <w:b/>
          <w:bCs/>
          <w:lang w:val="en-GB"/>
        </w:rPr>
        <w:t xml:space="preserve">he </w:t>
      </w:r>
      <w:r w:rsidR="00B12B1D" w:rsidRPr="00A5537A">
        <w:rPr>
          <w:b/>
          <w:bCs/>
          <w:lang w:val="en-GB"/>
        </w:rPr>
        <w:t>P</w:t>
      </w:r>
      <w:r w:rsidRPr="00A5537A">
        <w:rPr>
          <w:b/>
          <w:bCs/>
          <w:lang w:val="en-GB"/>
        </w:rPr>
        <w:t>arties’ submissions</w:t>
      </w:r>
    </w:p>
    <w:p w:rsidR="009E7E60" w:rsidRPr="00A5537A" w:rsidRDefault="009E7E60" w:rsidP="00EC64DD">
      <w:pPr>
        <w:tabs>
          <w:tab w:val="left" w:pos="360"/>
        </w:tabs>
        <w:suppressAutoHyphens/>
        <w:autoSpaceDE w:val="0"/>
        <w:ind w:left="360" w:hanging="360"/>
        <w:jc w:val="both"/>
        <w:rPr>
          <w:bCs/>
          <w:lang w:val="en-GB"/>
        </w:rPr>
      </w:pPr>
    </w:p>
    <w:p w:rsidR="009F2F33" w:rsidRPr="00570D6A" w:rsidRDefault="009F2F33" w:rsidP="00EC64DD">
      <w:pPr>
        <w:numPr>
          <w:ilvl w:val="0"/>
          <w:numId w:val="5"/>
        </w:numPr>
        <w:tabs>
          <w:tab w:val="left" w:pos="360"/>
        </w:tabs>
        <w:suppressAutoHyphens/>
        <w:autoSpaceDE w:val="0"/>
        <w:ind w:left="360"/>
        <w:jc w:val="both"/>
        <w:rPr>
          <w:bCs/>
        </w:rPr>
      </w:pPr>
      <w:r w:rsidRPr="00570D6A">
        <w:t xml:space="preserve">The </w:t>
      </w:r>
      <w:r w:rsidRPr="00570D6A">
        <w:rPr>
          <w:bCs/>
          <w:lang w:val="en-GB"/>
        </w:rPr>
        <w:t>complainant</w:t>
      </w:r>
      <w:r w:rsidRPr="00570D6A">
        <w:t xml:space="preserve"> alleges</w:t>
      </w:r>
      <w:r w:rsidR="00532B49">
        <w:t xml:space="preserve"> a</w:t>
      </w:r>
      <w:r w:rsidRPr="00570D6A">
        <w:t xml:space="preserve"> </w:t>
      </w:r>
      <w:r w:rsidR="0012508E" w:rsidRPr="00570D6A">
        <w:t xml:space="preserve">violation </w:t>
      </w:r>
      <w:r w:rsidR="00DB2E6D" w:rsidRPr="00570D6A">
        <w:t>through</w:t>
      </w:r>
      <w:r w:rsidRPr="00570D6A">
        <w:t xml:space="preserve"> the lack of an adequate criminal investigation into th</w:t>
      </w:r>
      <w:r w:rsidR="0067077C" w:rsidRPr="00570D6A">
        <w:t xml:space="preserve">e </w:t>
      </w:r>
      <w:r w:rsidR="00D54387" w:rsidRPr="007F4E6B">
        <w:t>abduction</w:t>
      </w:r>
      <w:r w:rsidR="001D3666" w:rsidRPr="007F4E6B">
        <w:t xml:space="preserve"> and killing</w:t>
      </w:r>
      <w:r w:rsidR="0067077C" w:rsidRPr="007F4E6B">
        <w:t xml:space="preserve"> of her</w:t>
      </w:r>
      <w:r w:rsidRPr="007F4E6B">
        <w:t xml:space="preserve"> </w:t>
      </w:r>
      <w:r w:rsidR="0067077C" w:rsidRPr="007F4E6B">
        <w:t>husband</w:t>
      </w:r>
      <w:r w:rsidR="00A40976" w:rsidRPr="00570D6A">
        <w:t xml:space="preserve">. </w:t>
      </w:r>
      <w:r w:rsidRPr="00570D6A">
        <w:t xml:space="preserve">The complainant also states that </w:t>
      </w:r>
      <w:r w:rsidR="0067077C" w:rsidRPr="00570D6A">
        <w:t>s</w:t>
      </w:r>
      <w:r w:rsidRPr="00570D6A">
        <w:t xml:space="preserve">he was not informed as to whether an investigation was conducted and what the outcome was. </w:t>
      </w:r>
    </w:p>
    <w:p w:rsidR="00A36817" w:rsidRPr="00570D6A" w:rsidRDefault="00A36817" w:rsidP="0067077C">
      <w:pPr>
        <w:tabs>
          <w:tab w:val="left" w:pos="360"/>
        </w:tabs>
        <w:rPr>
          <w:bCs/>
          <w:lang w:val="en-GB"/>
        </w:rPr>
      </w:pPr>
    </w:p>
    <w:p w:rsidR="00F44B25" w:rsidRPr="007F4E6B" w:rsidRDefault="0067077C" w:rsidP="00F44B25">
      <w:pPr>
        <w:numPr>
          <w:ilvl w:val="0"/>
          <w:numId w:val="5"/>
        </w:numPr>
        <w:tabs>
          <w:tab w:val="left" w:pos="360"/>
        </w:tabs>
        <w:suppressAutoHyphens/>
        <w:autoSpaceDE w:val="0"/>
        <w:ind w:left="360"/>
        <w:jc w:val="both"/>
        <w:rPr>
          <w:lang w:val="en-GB"/>
        </w:rPr>
      </w:pPr>
      <w:bookmarkStart w:id="17" w:name="_Ref347846976"/>
      <w:r w:rsidRPr="007F4E6B">
        <w:rPr>
          <w:bCs/>
          <w:lang w:val="en-GB"/>
        </w:rPr>
        <w:t>The SRSG</w:t>
      </w:r>
      <w:r w:rsidR="00C96864" w:rsidRPr="007F4E6B">
        <w:rPr>
          <w:bCs/>
          <w:lang w:val="en-GB"/>
        </w:rPr>
        <w:t xml:space="preserve"> </w:t>
      </w:r>
      <w:r w:rsidR="00FA27C4" w:rsidRPr="007F4E6B">
        <w:rPr>
          <w:bCs/>
          <w:lang w:val="en-GB"/>
        </w:rPr>
        <w:t>argues</w:t>
      </w:r>
      <w:r w:rsidR="00895F4A" w:rsidRPr="007F4E6B">
        <w:rPr>
          <w:bCs/>
          <w:lang w:val="en-GB"/>
        </w:rPr>
        <w:t xml:space="preserve"> </w:t>
      </w:r>
      <w:r w:rsidR="00FA27C4" w:rsidRPr="007F4E6B">
        <w:rPr>
          <w:bCs/>
          <w:lang w:val="en-GB"/>
        </w:rPr>
        <w:t>that</w:t>
      </w:r>
      <w:r w:rsidR="00294BF4" w:rsidRPr="007F4E6B">
        <w:rPr>
          <w:bCs/>
          <w:lang w:val="en-GB"/>
        </w:rPr>
        <w:t>,</w:t>
      </w:r>
      <w:r w:rsidR="00FA27C4" w:rsidRPr="007F4E6B">
        <w:rPr>
          <w:bCs/>
          <w:lang w:val="en-GB"/>
        </w:rPr>
        <w:t xml:space="preserve"> in general, when considering whether UNMIK has satisfied its procedural obligations under Article 2 of the ECHR, the Panel must take into consideration the speci</w:t>
      </w:r>
      <w:r w:rsidR="00AF43E2" w:rsidRPr="007F4E6B">
        <w:rPr>
          <w:bCs/>
          <w:lang w:val="en-GB"/>
        </w:rPr>
        <w:t>al circumstances in</w:t>
      </w:r>
      <w:r w:rsidR="00FA27C4" w:rsidRPr="007F4E6B">
        <w:rPr>
          <w:bCs/>
          <w:lang w:val="en-GB"/>
        </w:rPr>
        <w:t xml:space="preserve"> Kosovo at the time. This was especially the case in the initial stage of its </w:t>
      </w:r>
      <w:r w:rsidR="00092686" w:rsidRPr="007F4E6B">
        <w:rPr>
          <w:bCs/>
          <w:lang w:val="en-GB"/>
        </w:rPr>
        <w:t>deployment</w:t>
      </w:r>
      <w:r w:rsidR="00FA27C4" w:rsidRPr="007F4E6B">
        <w:rPr>
          <w:bCs/>
          <w:lang w:val="en-GB"/>
        </w:rPr>
        <w:t xml:space="preserve">, the period during which </w:t>
      </w:r>
      <w:proofErr w:type="spellStart"/>
      <w:r w:rsidR="00E76559" w:rsidRPr="007F4E6B">
        <w:rPr>
          <w:lang w:val="en-GB"/>
        </w:rPr>
        <w:t>Borislav</w:t>
      </w:r>
      <w:proofErr w:type="spellEnd"/>
      <w:r w:rsidR="00E76559" w:rsidRPr="007F4E6B">
        <w:rPr>
          <w:lang w:val="en-GB"/>
        </w:rPr>
        <w:t xml:space="preserve"> </w:t>
      </w:r>
      <w:proofErr w:type="spellStart"/>
      <w:r w:rsidR="00E76559" w:rsidRPr="007F4E6B">
        <w:rPr>
          <w:lang w:val="en-GB"/>
        </w:rPr>
        <w:t>Pavić</w:t>
      </w:r>
      <w:r w:rsidRPr="007F4E6B">
        <w:rPr>
          <w:bCs/>
          <w:lang w:val="en-GB"/>
        </w:rPr>
        <w:t>’s</w:t>
      </w:r>
      <w:proofErr w:type="spellEnd"/>
      <w:r w:rsidRPr="007F4E6B">
        <w:rPr>
          <w:bCs/>
          <w:lang w:val="en-GB"/>
        </w:rPr>
        <w:t xml:space="preserve"> </w:t>
      </w:r>
      <w:r w:rsidR="00D54387" w:rsidRPr="007F4E6B">
        <w:rPr>
          <w:bCs/>
          <w:lang w:val="en-GB"/>
        </w:rPr>
        <w:t>abduction</w:t>
      </w:r>
      <w:r w:rsidR="001D3666" w:rsidRPr="007F4E6B">
        <w:rPr>
          <w:bCs/>
          <w:lang w:val="en-GB"/>
        </w:rPr>
        <w:t xml:space="preserve"> and killing</w:t>
      </w:r>
      <w:r w:rsidR="00FA27C4" w:rsidRPr="007F4E6B">
        <w:rPr>
          <w:bCs/>
          <w:lang w:val="en-GB"/>
        </w:rPr>
        <w:t xml:space="preserve"> occurred.</w:t>
      </w:r>
      <w:bookmarkEnd w:id="17"/>
    </w:p>
    <w:p w:rsidR="00F44B25" w:rsidRPr="007F4E6B" w:rsidRDefault="00F44B25" w:rsidP="00F44B25">
      <w:pPr>
        <w:tabs>
          <w:tab w:val="left" w:pos="360"/>
        </w:tabs>
        <w:suppressAutoHyphens/>
        <w:autoSpaceDE w:val="0"/>
        <w:ind w:left="360"/>
        <w:jc w:val="both"/>
        <w:rPr>
          <w:lang w:val="en-GB"/>
        </w:rPr>
      </w:pPr>
    </w:p>
    <w:p w:rsidR="00F44B25" w:rsidRPr="007F4E6B" w:rsidRDefault="00F44B25" w:rsidP="00F44B25">
      <w:pPr>
        <w:numPr>
          <w:ilvl w:val="0"/>
          <w:numId w:val="5"/>
        </w:numPr>
        <w:tabs>
          <w:tab w:val="left" w:pos="360"/>
        </w:tabs>
        <w:suppressAutoHyphens/>
        <w:autoSpaceDE w:val="0"/>
        <w:ind w:left="360"/>
        <w:jc w:val="both"/>
        <w:rPr>
          <w:lang w:val="en-GB"/>
        </w:rPr>
      </w:pPr>
      <w:r w:rsidRPr="007F4E6B">
        <w:rPr>
          <w:lang w:val="en-GB"/>
        </w:rPr>
        <w:t>The SRSG further observes that when determining applications under Article 2</w:t>
      </w:r>
      <w:r w:rsidR="002856A0" w:rsidRPr="007F4E6B">
        <w:rPr>
          <w:lang w:val="en-GB"/>
        </w:rPr>
        <w:t>,</w:t>
      </w:r>
      <w:r w:rsidRPr="007F4E6B">
        <w:rPr>
          <w:lang w:val="en-GB"/>
        </w:rPr>
        <w:t xml:space="preserve"> consideration must be given to not imposing an impossible or disproportionate burden on UNMIK. In this regard, the SRSG recalls the judgment of 15 February 2011 rendered by the European Court of Human Rights in the case </w:t>
      </w:r>
      <w:proofErr w:type="spellStart"/>
      <w:r w:rsidRPr="007F4E6B">
        <w:rPr>
          <w:i/>
          <w:lang w:val="en-GB"/>
        </w:rPr>
        <w:t>Palić</w:t>
      </w:r>
      <w:proofErr w:type="spellEnd"/>
      <w:r w:rsidRPr="007F4E6B">
        <w:rPr>
          <w:i/>
          <w:lang w:val="en-GB"/>
        </w:rPr>
        <w:t xml:space="preserve"> v. Bosnia and Herzegovina</w:t>
      </w:r>
      <w:r w:rsidRPr="007F4E6B">
        <w:rPr>
          <w:lang w:val="en-GB"/>
        </w:rPr>
        <w:t>, stating at paragraph 70:</w:t>
      </w:r>
    </w:p>
    <w:p w:rsidR="00F44B25" w:rsidRPr="007F4E6B" w:rsidRDefault="00F44B25" w:rsidP="00F44B25">
      <w:pPr>
        <w:pStyle w:val="ListParagraph"/>
        <w:rPr>
          <w:lang w:val="en-GB"/>
        </w:rPr>
      </w:pPr>
    </w:p>
    <w:p w:rsidR="00901D6F" w:rsidRPr="007F4E6B" w:rsidRDefault="00F44B25" w:rsidP="007F4E6B">
      <w:pPr>
        <w:suppressAutoHyphens/>
        <w:ind w:left="630"/>
        <w:jc w:val="both"/>
        <w:rPr>
          <w:lang w:val="en-GB"/>
        </w:rPr>
      </w:pPr>
      <w:r w:rsidRPr="007F4E6B">
        <w:rPr>
          <w:lang w:val="en-GB"/>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F44B25" w:rsidRPr="007F4E6B" w:rsidRDefault="00F44B25" w:rsidP="00F44B25">
      <w:pPr>
        <w:suppressAutoHyphens/>
        <w:jc w:val="both"/>
        <w:rPr>
          <w:lang w:val="en-GB"/>
        </w:rPr>
      </w:pPr>
    </w:p>
    <w:p w:rsidR="00A10E63" w:rsidRPr="007F4E6B" w:rsidRDefault="00D60B4A" w:rsidP="006E1890">
      <w:pPr>
        <w:pStyle w:val="Default"/>
        <w:numPr>
          <w:ilvl w:val="0"/>
          <w:numId w:val="5"/>
        </w:numPr>
        <w:tabs>
          <w:tab w:val="clear" w:pos="630"/>
          <w:tab w:val="num" w:pos="360"/>
          <w:tab w:val="left" w:pos="720"/>
        </w:tabs>
        <w:ind w:left="360"/>
        <w:jc w:val="both"/>
        <w:rPr>
          <w:i/>
        </w:rPr>
      </w:pPr>
      <w:r w:rsidRPr="007F4E6B">
        <w:t>In the view</w:t>
      </w:r>
      <w:r w:rsidR="00A10E63" w:rsidRPr="007F4E6B">
        <w:t xml:space="preserve"> of the SRSG, UNMIK was faced with a very similar situation as the one in Bosnia in the aftermath of the Kosovo conflict. The SRSG states that thousands of people were displaced or went missing. Many of the persons that went missing were abducted, killed, and buried in unmarked graves inside or outside Kosovo, which made</w:t>
      </w:r>
      <w:r w:rsidR="00AA0927" w:rsidRPr="007F4E6B">
        <w:t xml:space="preserve"> it</w:t>
      </w:r>
      <w:r w:rsidR="00A10E63" w:rsidRPr="007F4E6B">
        <w:t xml:space="preserve"> very difficult locating and recovering their mortal remains. </w:t>
      </w:r>
    </w:p>
    <w:p w:rsidR="00A10E63" w:rsidRPr="007F4E6B" w:rsidRDefault="00A10E63" w:rsidP="00A10E63">
      <w:pPr>
        <w:pStyle w:val="Default"/>
        <w:tabs>
          <w:tab w:val="left" w:pos="360"/>
          <w:tab w:val="left" w:pos="720"/>
        </w:tabs>
        <w:ind w:left="360"/>
        <w:jc w:val="both"/>
        <w:rPr>
          <w:i/>
        </w:rPr>
      </w:pPr>
    </w:p>
    <w:p w:rsidR="00A10E63" w:rsidRPr="007F4E6B" w:rsidRDefault="00A10E63" w:rsidP="006E1890">
      <w:pPr>
        <w:pStyle w:val="Default"/>
        <w:numPr>
          <w:ilvl w:val="0"/>
          <w:numId w:val="5"/>
        </w:numPr>
        <w:tabs>
          <w:tab w:val="clear" w:pos="630"/>
          <w:tab w:val="num" w:pos="360"/>
          <w:tab w:val="left" w:pos="720"/>
        </w:tabs>
        <w:ind w:left="360"/>
        <w:jc w:val="both"/>
      </w:pPr>
      <w:r w:rsidRPr="007F4E6B">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centralization led to problems with the evidence gathered in this phase. In 2000, </w:t>
      </w:r>
      <w:r w:rsidR="00294BF4" w:rsidRPr="007F4E6B">
        <w:t xml:space="preserve">the </w:t>
      </w:r>
      <w:r w:rsidRPr="007F4E6B">
        <w:t xml:space="preserve">ICTY launched a large, centralized forensic operation, based at the </w:t>
      </w:r>
      <w:proofErr w:type="spellStart"/>
      <w:r w:rsidRPr="007F4E6B">
        <w:t>Rahovec</w:t>
      </w:r>
      <w:proofErr w:type="spellEnd"/>
      <w:r w:rsidRPr="007F4E6B">
        <w:t>/</w:t>
      </w:r>
      <w:proofErr w:type="spellStart"/>
      <w:r w:rsidRPr="007F4E6B">
        <w:t>Orahovac</w:t>
      </w:r>
      <w:proofErr w:type="spellEnd"/>
      <w:r w:rsidRPr="007F4E6B">
        <w:t xml:space="preserve"> mortuary, with standard operating procedures for all forensic teams except the British one, which operated independently out of </w:t>
      </w:r>
      <w:proofErr w:type="spellStart"/>
      <w:r w:rsidRPr="007F4E6B">
        <w:t>Prishtinë</w:t>
      </w:r>
      <w:proofErr w:type="spellEnd"/>
      <w:r w:rsidRPr="007F4E6B">
        <w:t>/</w:t>
      </w:r>
      <w:proofErr w:type="spellStart"/>
      <w:r w:rsidRPr="007F4E6B">
        <w:t>Priština</w:t>
      </w:r>
      <w:proofErr w:type="spellEnd"/>
      <w:r w:rsidRPr="007F4E6B">
        <w:t>.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7F4E6B">
        <w:rPr>
          <w:i/>
        </w:rPr>
        <w:t>ex-officio</w:t>
      </w:r>
      <w:r w:rsidRPr="007F4E6B">
        <w:t xml:space="preserve">, without any broader prosecutorial strategy”. As a consequence, a large amount of unstructured information was collected. The SRSG states that, taking into account the difficulties described above, “the process of dealing effectively with disappearances and other serious violations of international humanitarian law has been understandably incremental” in Kosovo as it is reflected in the </w:t>
      </w:r>
      <w:proofErr w:type="spellStart"/>
      <w:r w:rsidRPr="007F4E6B">
        <w:rPr>
          <w:i/>
        </w:rPr>
        <w:t>Palić</w:t>
      </w:r>
      <w:proofErr w:type="spellEnd"/>
      <w:r w:rsidRPr="007F4E6B">
        <w:rPr>
          <w:i/>
        </w:rPr>
        <w:t xml:space="preserve"> </w:t>
      </w:r>
      <w:r w:rsidRPr="007F4E6B">
        <w:t xml:space="preserve">case referred to above. The SRSG concludes that the work of the OMPF contributed greatly to determining the whereabouts and fate of the missing from the Kosovo conflict; however it was not possible to locate all the missing within the timeframe and resources available at that time. </w:t>
      </w:r>
    </w:p>
    <w:p w:rsidR="00A10E63" w:rsidRPr="007F4E6B" w:rsidRDefault="00A10E63" w:rsidP="00A10E63">
      <w:pPr>
        <w:pStyle w:val="Default"/>
        <w:tabs>
          <w:tab w:val="left" w:pos="360"/>
          <w:tab w:val="left" w:pos="720"/>
        </w:tabs>
        <w:ind w:left="360"/>
        <w:jc w:val="both"/>
      </w:pPr>
    </w:p>
    <w:p w:rsidR="00A10E63" w:rsidRPr="007F4E6B" w:rsidRDefault="00A10E63" w:rsidP="006E1890">
      <w:pPr>
        <w:pStyle w:val="Default"/>
        <w:numPr>
          <w:ilvl w:val="0"/>
          <w:numId w:val="5"/>
        </w:numPr>
        <w:tabs>
          <w:tab w:val="clear" w:pos="630"/>
          <w:tab w:val="num" w:pos="360"/>
          <w:tab w:val="left" w:pos="720"/>
        </w:tabs>
        <w:ind w:left="360"/>
        <w:jc w:val="both"/>
      </w:pPr>
      <w:r w:rsidRPr="007F4E6B">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p>
    <w:p w:rsidR="00A10E63" w:rsidRPr="002A2F90" w:rsidRDefault="00A10E63" w:rsidP="00A10E63">
      <w:pPr>
        <w:pStyle w:val="ListParagraph"/>
        <w:rPr>
          <w:highlight w:val="yellow"/>
          <w:lang w:eastAsia="en-US"/>
        </w:rPr>
      </w:pPr>
    </w:p>
    <w:p w:rsidR="00A10E63" w:rsidRPr="002A2F90" w:rsidRDefault="00A10E63" w:rsidP="00A10E63">
      <w:pPr>
        <w:pStyle w:val="Default"/>
        <w:tabs>
          <w:tab w:val="left" w:pos="360"/>
          <w:tab w:val="left" w:pos="720"/>
        </w:tabs>
        <w:ind w:left="720"/>
        <w:jc w:val="both"/>
        <w:rPr>
          <w:highlight w:val="yellow"/>
        </w:rPr>
      </w:pPr>
      <w:r w:rsidRPr="007F4E6B">
        <w:t xml:space="preserve">“UNMIK Police had to deal in the aftermath of war with dead bodies and looted and burnt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to establish order and to quickly construct a framework to register and investigate crimes. </w:t>
      </w:r>
    </w:p>
    <w:p w:rsidR="00A10E63" w:rsidRPr="002A2F90" w:rsidRDefault="00A10E63" w:rsidP="00A10E63">
      <w:pPr>
        <w:pStyle w:val="Default"/>
        <w:tabs>
          <w:tab w:val="left" w:pos="360"/>
          <w:tab w:val="left" w:pos="720"/>
        </w:tabs>
        <w:ind w:left="720"/>
        <w:jc w:val="both"/>
        <w:rPr>
          <w:highlight w:val="yellow"/>
        </w:rPr>
      </w:pPr>
    </w:p>
    <w:p w:rsidR="00A10E63" w:rsidRPr="007F4E6B" w:rsidRDefault="00A10E63" w:rsidP="00A10E63">
      <w:pPr>
        <w:pStyle w:val="Default"/>
        <w:tabs>
          <w:tab w:val="left" w:pos="360"/>
          <w:tab w:val="left" w:pos="720"/>
        </w:tabs>
        <w:ind w:left="720"/>
        <w:jc w:val="both"/>
      </w:pPr>
      <w:r w:rsidRPr="007F4E6B">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A10E63" w:rsidRPr="002A2F90" w:rsidRDefault="00A10E63" w:rsidP="00A10E63">
      <w:pPr>
        <w:pStyle w:val="ListParagraph"/>
        <w:rPr>
          <w:highlight w:val="yellow"/>
          <w:lang w:eastAsia="en-US"/>
        </w:rPr>
      </w:pPr>
    </w:p>
    <w:p w:rsidR="00A10E63" w:rsidRPr="007F4E6B" w:rsidRDefault="00A10E63" w:rsidP="007F4E6B">
      <w:pPr>
        <w:pStyle w:val="Default"/>
        <w:numPr>
          <w:ilvl w:val="0"/>
          <w:numId w:val="5"/>
        </w:numPr>
        <w:tabs>
          <w:tab w:val="clear" w:pos="630"/>
          <w:tab w:val="num" w:pos="360"/>
          <w:tab w:val="left" w:pos="720"/>
        </w:tabs>
        <w:ind w:left="360"/>
        <w:jc w:val="both"/>
      </w:pPr>
      <w:r w:rsidRPr="007F4E6B">
        <w:t xml:space="preserve">The SRSG states that UNMIK international police officers working on cases of missing persons had to adjust to conducting investigations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are not faced with the high number of cases of this nature associated with a post-conflict situation. </w:t>
      </w:r>
    </w:p>
    <w:p w:rsidR="00FA27C4" w:rsidRPr="007F4E6B" w:rsidRDefault="00FA27C4" w:rsidP="00EC64DD">
      <w:pPr>
        <w:tabs>
          <w:tab w:val="left" w:pos="360"/>
        </w:tabs>
        <w:suppressAutoHyphens/>
        <w:autoSpaceDE w:val="0"/>
        <w:ind w:left="360" w:hanging="360"/>
        <w:jc w:val="both"/>
        <w:rPr>
          <w:bCs/>
          <w:lang w:val="en-GB"/>
        </w:rPr>
      </w:pPr>
    </w:p>
    <w:p w:rsidR="00BE3DE5" w:rsidRPr="007F4E6B" w:rsidRDefault="00FA27C4" w:rsidP="0067077C">
      <w:pPr>
        <w:numPr>
          <w:ilvl w:val="0"/>
          <w:numId w:val="5"/>
        </w:numPr>
        <w:tabs>
          <w:tab w:val="left" w:pos="360"/>
        </w:tabs>
        <w:suppressAutoHyphens/>
        <w:autoSpaceDE w:val="0"/>
        <w:ind w:left="360"/>
        <w:jc w:val="both"/>
        <w:rPr>
          <w:bCs/>
          <w:lang w:val="en-GB"/>
        </w:rPr>
      </w:pPr>
      <w:r w:rsidRPr="007F4E6B">
        <w:rPr>
          <w:bCs/>
          <w:lang w:val="en-GB"/>
        </w:rPr>
        <w:t xml:space="preserve">With regard to this particular case, the SRSG </w:t>
      </w:r>
      <w:r w:rsidR="00D91F29" w:rsidRPr="007F4E6B">
        <w:rPr>
          <w:bCs/>
          <w:lang w:val="en-GB"/>
        </w:rPr>
        <w:t>specifically argues that</w:t>
      </w:r>
      <w:r w:rsidR="00F82387" w:rsidRPr="007F4E6B">
        <w:rPr>
          <w:bCs/>
          <w:lang w:val="en-GB"/>
        </w:rPr>
        <w:t xml:space="preserve"> “UNMIK registered the incident</w:t>
      </w:r>
      <w:r w:rsidR="008127E5" w:rsidRPr="007F4E6B">
        <w:rPr>
          <w:bCs/>
          <w:lang w:val="en-GB"/>
        </w:rPr>
        <w:t xml:space="preserve"> [</w:t>
      </w:r>
      <w:r w:rsidR="00F82387" w:rsidRPr="007F4E6B">
        <w:rPr>
          <w:bCs/>
          <w:lang w:val="en-GB"/>
        </w:rPr>
        <w:t>..</w:t>
      </w:r>
      <w:r w:rsidR="00BE3DE5" w:rsidRPr="007F4E6B">
        <w:rPr>
          <w:bCs/>
          <w:lang w:val="en-GB"/>
        </w:rPr>
        <w:t>.</w:t>
      </w:r>
      <w:r w:rsidR="008127E5" w:rsidRPr="007F4E6B">
        <w:rPr>
          <w:bCs/>
          <w:lang w:val="en-GB"/>
        </w:rPr>
        <w:t xml:space="preserve">] </w:t>
      </w:r>
      <w:r w:rsidR="00F82387" w:rsidRPr="007F4E6B">
        <w:rPr>
          <w:bCs/>
          <w:lang w:val="en-GB"/>
        </w:rPr>
        <w:t xml:space="preserve">and conducted an intensive investigation beginning from 16 December 2002 until 3 March 2003 when </w:t>
      </w:r>
      <w:r w:rsidR="007F3402" w:rsidRPr="007F4E6B">
        <w:rPr>
          <w:bCs/>
          <w:lang w:val="en-GB"/>
        </w:rPr>
        <w:t>Mr</w:t>
      </w:r>
      <w:r w:rsidR="00F82387" w:rsidRPr="007F4E6B">
        <w:rPr>
          <w:bCs/>
          <w:lang w:val="en-GB"/>
        </w:rPr>
        <w:t xml:space="preserve"> </w:t>
      </w:r>
      <w:proofErr w:type="spellStart"/>
      <w:r w:rsidR="00F82387" w:rsidRPr="007F4E6B">
        <w:rPr>
          <w:bCs/>
          <w:lang w:val="en-GB"/>
        </w:rPr>
        <w:t>Pavić’s</w:t>
      </w:r>
      <w:proofErr w:type="spellEnd"/>
      <w:r w:rsidR="00F82387" w:rsidRPr="007F4E6B">
        <w:rPr>
          <w:bCs/>
          <w:lang w:val="en-GB"/>
        </w:rPr>
        <w:t xml:space="preserve"> body was exhumed from a cemetery in </w:t>
      </w:r>
      <w:proofErr w:type="spellStart"/>
      <w:r w:rsidR="00F82387" w:rsidRPr="007F4E6B">
        <w:rPr>
          <w:bCs/>
          <w:lang w:val="en-GB"/>
        </w:rPr>
        <w:t>Gjilan</w:t>
      </w:r>
      <w:proofErr w:type="spellEnd"/>
      <w:r w:rsidR="00F82387" w:rsidRPr="007F4E6B">
        <w:rPr>
          <w:bCs/>
          <w:lang w:val="en-GB"/>
        </w:rPr>
        <w:t>/</w:t>
      </w:r>
      <w:proofErr w:type="spellStart"/>
      <w:r w:rsidR="00F82387" w:rsidRPr="007F4E6B">
        <w:rPr>
          <w:bCs/>
          <w:lang w:val="en-GB"/>
        </w:rPr>
        <w:t>Gnjilane</w:t>
      </w:r>
      <w:proofErr w:type="spellEnd"/>
      <w:r w:rsidR="00F82387" w:rsidRPr="007F4E6B">
        <w:rPr>
          <w:bCs/>
          <w:lang w:val="en-GB"/>
        </w:rPr>
        <w:t xml:space="preserve">. Several OMPF investigators were involved in the investigation and identification of the remains of the missing person. It should be noted that the body of Mr </w:t>
      </w:r>
      <w:proofErr w:type="spellStart"/>
      <w:r w:rsidR="00F82387" w:rsidRPr="007F4E6B">
        <w:rPr>
          <w:bCs/>
          <w:lang w:val="en-GB"/>
        </w:rPr>
        <w:t>Pavić</w:t>
      </w:r>
      <w:proofErr w:type="spellEnd"/>
      <w:r w:rsidR="00BE3DE5" w:rsidRPr="007F4E6B">
        <w:rPr>
          <w:bCs/>
          <w:lang w:val="en-GB"/>
        </w:rPr>
        <w:t xml:space="preserve"> was initially found on 11 July 2000 by KFOR and the autopsy was carried out by ICTY and buried in an unmarked grave in </w:t>
      </w:r>
      <w:proofErr w:type="spellStart"/>
      <w:r w:rsidR="00BE3DE5" w:rsidRPr="007F4E6B">
        <w:rPr>
          <w:bCs/>
          <w:lang w:val="en-GB"/>
        </w:rPr>
        <w:t>Gjilan</w:t>
      </w:r>
      <w:proofErr w:type="spellEnd"/>
      <w:r w:rsidR="00BE3DE5" w:rsidRPr="007F4E6B">
        <w:rPr>
          <w:bCs/>
          <w:lang w:val="en-GB"/>
        </w:rPr>
        <w:t>/</w:t>
      </w:r>
      <w:proofErr w:type="spellStart"/>
      <w:r w:rsidR="00BE3DE5" w:rsidRPr="007F4E6B">
        <w:rPr>
          <w:bCs/>
          <w:lang w:val="en-GB"/>
        </w:rPr>
        <w:t>Gnjilane</w:t>
      </w:r>
      <w:proofErr w:type="spellEnd"/>
      <w:r w:rsidR="00BE3DE5" w:rsidRPr="007F4E6B">
        <w:rPr>
          <w:bCs/>
          <w:lang w:val="en-GB"/>
        </w:rPr>
        <w:t>.”</w:t>
      </w:r>
      <w:r w:rsidR="00A86470" w:rsidRPr="007F4E6B">
        <w:rPr>
          <w:bCs/>
          <w:lang w:val="en-GB"/>
        </w:rPr>
        <w:t xml:space="preserve"> </w:t>
      </w:r>
    </w:p>
    <w:p w:rsidR="00BE3DE5" w:rsidRPr="007F4E6B" w:rsidRDefault="00BE3DE5" w:rsidP="00BE3DE5">
      <w:pPr>
        <w:tabs>
          <w:tab w:val="left" w:pos="360"/>
        </w:tabs>
        <w:suppressAutoHyphens/>
        <w:autoSpaceDE w:val="0"/>
        <w:ind w:left="360"/>
        <w:jc w:val="both"/>
        <w:rPr>
          <w:bCs/>
          <w:lang w:val="en-GB"/>
        </w:rPr>
      </w:pPr>
    </w:p>
    <w:p w:rsidR="0067077C" w:rsidRPr="007F4E6B" w:rsidRDefault="00BE3DE5" w:rsidP="0067077C">
      <w:pPr>
        <w:numPr>
          <w:ilvl w:val="0"/>
          <w:numId w:val="5"/>
        </w:numPr>
        <w:tabs>
          <w:tab w:val="left" w:pos="360"/>
        </w:tabs>
        <w:suppressAutoHyphens/>
        <w:autoSpaceDE w:val="0"/>
        <w:ind w:left="360"/>
        <w:jc w:val="both"/>
        <w:rPr>
          <w:bCs/>
          <w:lang w:val="en-GB"/>
        </w:rPr>
      </w:pPr>
      <w:r w:rsidRPr="007F4E6B">
        <w:rPr>
          <w:bCs/>
          <w:lang w:val="en-GB"/>
        </w:rPr>
        <w:t>The SRSG further argues that</w:t>
      </w:r>
      <w:r w:rsidR="000F336F" w:rsidRPr="007F4E6B">
        <w:rPr>
          <w:bCs/>
          <w:lang w:val="en-GB"/>
        </w:rPr>
        <w:t xml:space="preserve"> </w:t>
      </w:r>
      <w:r w:rsidR="00A86470" w:rsidRPr="007F4E6B">
        <w:rPr>
          <w:bCs/>
          <w:lang w:val="en-GB"/>
        </w:rPr>
        <w:t>“it can be presumed that UNMIK Police and UNMIK OMPF were at all times actively engaged in trying to identify the missing person, whenever a grave site was examined and autopsies conducted. Therefore in the absence of information to the contrary, UNMIK asserts</w:t>
      </w:r>
      <w:r w:rsidR="00F82387" w:rsidRPr="007F4E6B">
        <w:rPr>
          <w:bCs/>
          <w:lang w:val="en-GB"/>
        </w:rPr>
        <w:t xml:space="preserve"> </w:t>
      </w:r>
      <w:r w:rsidR="00A86470" w:rsidRPr="007F4E6B">
        <w:rPr>
          <w:bCs/>
          <w:lang w:val="en-GB"/>
        </w:rPr>
        <w:t>that the investigation had been sufficiently effective and there is no violation of Article 2 ECHR, which can be attributed to UNMIK”.</w:t>
      </w:r>
      <w:r w:rsidR="00FA27C4" w:rsidRPr="007F4E6B">
        <w:rPr>
          <w:bCs/>
          <w:lang w:val="en-GB"/>
        </w:rPr>
        <w:t xml:space="preserve"> </w:t>
      </w:r>
    </w:p>
    <w:p w:rsidR="0067077C" w:rsidRPr="00777C70" w:rsidRDefault="0067077C" w:rsidP="00BE3DE5">
      <w:pPr>
        <w:tabs>
          <w:tab w:val="left" w:pos="360"/>
        </w:tabs>
        <w:suppressAutoHyphens/>
        <w:autoSpaceDE w:val="0"/>
        <w:jc w:val="both"/>
        <w:rPr>
          <w:bCs/>
          <w:highlight w:val="yellow"/>
          <w:lang w:val="en-GB"/>
        </w:rPr>
      </w:pPr>
    </w:p>
    <w:p w:rsidR="00895F4A" w:rsidRPr="007F4E6B" w:rsidRDefault="00D91F29" w:rsidP="00EC64DD">
      <w:pPr>
        <w:numPr>
          <w:ilvl w:val="0"/>
          <w:numId w:val="5"/>
        </w:numPr>
        <w:tabs>
          <w:tab w:val="left" w:pos="360"/>
        </w:tabs>
        <w:suppressAutoHyphens/>
        <w:autoSpaceDE w:val="0"/>
        <w:ind w:left="360"/>
        <w:jc w:val="both"/>
        <w:rPr>
          <w:bCs/>
          <w:lang w:val="en-GB"/>
        </w:rPr>
      </w:pPr>
      <w:bookmarkStart w:id="18" w:name="_Ref342314550"/>
      <w:r w:rsidRPr="007F4E6B">
        <w:rPr>
          <w:bCs/>
          <w:lang w:val="en-GB"/>
        </w:rPr>
        <w:t>The SRSG finally argues</w:t>
      </w:r>
      <w:r w:rsidR="00BE3DE5" w:rsidRPr="007F4E6B">
        <w:rPr>
          <w:bCs/>
          <w:lang w:val="en-GB"/>
        </w:rPr>
        <w:t xml:space="preserve"> </w:t>
      </w:r>
      <w:r w:rsidR="00BE3DE5" w:rsidRPr="007F4E6B">
        <w:rPr>
          <w:lang w:val="en-GB"/>
        </w:rPr>
        <w:t>with regard to the identification and punishment of the perpetrators</w:t>
      </w:r>
      <w:r w:rsidRPr="007F4E6B">
        <w:rPr>
          <w:bCs/>
          <w:lang w:val="en-GB"/>
        </w:rPr>
        <w:t xml:space="preserve"> that </w:t>
      </w:r>
      <w:r w:rsidR="001A67D1" w:rsidRPr="007F4E6B">
        <w:rPr>
          <w:bCs/>
          <w:lang w:val="en-GB"/>
        </w:rPr>
        <w:t>“</w:t>
      </w:r>
      <w:r w:rsidR="0067077C" w:rsidRPr="007F4E6B">
        <w:rPr>
          <w:bCs/>
          <w:lang w:val="en-GB"/>
        </w:rPr>
        <w:t>in view of the</w:t>
      </w:r>
      <w:r w:rsidR="00F82387" w:rsidRPr="007F4E6B">
        <w:rPr>
          <w:bCs/>
          <w:lang w:val="en-GB"/>
        </w:rPr>
        <w:t xml:space="preserve"> fact that there is no sufficient information relating to the circumstances of the disappearance of the victim, and particularly considering that there were no witnesses who could shed more light on the incident and/or any possible perpetrators, UNMIK asserts that UNMIK Police conducted an appropriate investigation in the circumstances.”</w:t>
      </w:r>
      <w:r w:rsidR="0067077C" w:rsidRPr="007F4E6B">
        <w:rPr>
          <w:bCs/>
          <w:lang w:val="en-GB"/>
        </w:rPr>
        <w:t xml:space="preserve"> </w:t>
      </w:r>
      <w:r w:rsidR="007F3402" w:rsidRPr="007F4E6B">
        <w:rPr>
          <w:bCs/>
          <w:lang w:val="en-GB"/>
        </w:rPr>
        <w:t xml:space="preserve">In light of the </w:t>
      </w:r>
      <w:r w:rsidR="0067077C" w:rsidRPr="007F4E6B">
        <w:rPr>
          <w:bCs/>
          <w:lang w:val="en-GB"/>
        </w:rPr>
        <w:t>vague and sparse information relating to the circumstances of the disappearance of the victim, and the lack of further documentation in relation to a possible police investigation, UNMIK submits that it is, at this time, not in a position to appropriately comment on a possible violation of this particular aspect of Article 2 of the ECHR.</w:t>
      </w:r>
      <w:r w:rsidR="0087512A" w:rsidRPr="007F4E6B">
        <w:rPr>
          <w:bCs/>
          <w:lang w:val="en-GB"/>
        </w:rPr>
        <w:t>”</w:t>
      </w:r>
      <w:r w:rsidR="0067077C" w:rsidRPr="007F4E6B">
        <w:rPr>
          <w:bCs/>
          <w:lang w:val="en-GB"/>
        </w:rPr>
        <w:t xml:space="preserve"> </w:t>
      </w:r>
      <w:bookmarkEnd w:id="18"/>
    </w:p>
    <w:p w:rsidR="00831AA2" w:rsidRPr="0087512A" w:rsidRDefault="00831AA2" w:rsidP="0087512A">
      <w:pPr>
        <w:tabs>
          <w:tab w:val="left" w:pos="360"/>
        </w:tabs>
        <w:rPr>
          <w:lang w:val="en-GB"/>
        </w:rPr>
      </w:pPr>
    </w:p>
    <w:p w:rsidR="00831AA2" w:rsidRPr="00A5537A" w:rsidRDefault="00B712F3" w:rsidP="00EC64DD">
      <w:pPr>
        <w:tabs>
          <w:tab w:val="left" w:pos="360"/>
        </w:tabs>
        <w:suppressAutoHyphens/>
        <w:autoSpaceDE w:val="0"/>
        <w:ind w:left="360" w:hanging="360"/>
        <w:jc w:val="both"/>
        <w:rPr>
          <w:b/>
          <w:bCs/>
          <w:lang w:val="en-GB"/>
        </w:rPr>
      </w:pPr>
      <w:r w:rsidRPr="00A5537A">
        <w:rPr>
          <w:b/>
          <w:bCs/>
          <w:lang w:val="en-GB"/>
        </w:rPr>
        <w:t>2.</w:t>
      </w:r>
      <w:r w:rsidRPr="00A5537A">
        <w:rPr>
          <w:b/>
          <w:bCs/>
          <w:lang w:val="en-GB"/>
        </w:rPr>
        <w:tab/>
      </w:r>
      <w:r w:rsidR="00831AA2" w:rsidRPr="00A5537A">
        <w:rPr>
          <w:b/>
          <w:bCs/>
          <w:lang w:val="en-GB"/>
        </w:rPr>
        <w:t>The Panel’s Assessment</w:t>
      </w:r>
    </w:p>
    <w:p w:rsidR="00831AA2" w:rsidRPr="00A5537A" w:rsidRDefault="00831AA2" w:rsidP="00EC64DD">
      <w:pPr>
        <w:tabs>
          <w:tab w:val="left" w:pos="360"/>
        </w:tabs>
        <w:suppressAutoHyphens/>
        <w:autoSpaceDE w:val="0"/>
        <w:ind w:left="360" w:hanging="360"/>
        <w:jc w:val="both"/>
        <w:rPr>
          <w:b/>
          <w:bCs/>
          <w:i/>
          <w:lang w:val="en-GB"/>
        </w:rPr>
      </w:pPr>
    </w:p>
    <w:p w:rsidR="002F65A0" w:rsidRPr="00A5537A" w:rsidRDefault="002F65A0" w:rsidP="00EC64DD">
      <w:pPr>
        <w:pStyle w:val="ListParagraph"/>
        <w:numPr>
          <w:ilvl w:val="0"/>
          <w:numId w:val="35"/>
        </w:numPr>
        <w:tabs>
          <w:tab w:val="left" w:pos="360"/>
        </w:tabs>
        <w:suppressAutoHyphens w:val="0"/>
        <w:ind w:left="360"/>
        <w:contextualSpacing/>
        <w:jc w:val="both"/>
        <w:rPr>
          <w:i/>
          <w:color w:val="000000"/>
          <w:lang w:eastAsia="en-US"/>
        </w:rPr>
      </w:pPr>
      <w:r w:rsidRPr="00A5537A">
        <w:rPr>
          <w:i/>
          <w:color w:val="000000"/>
          <w:lang w:eastAsia="en-US"/>
        </w:rPr>
        <w:t>Submission of relevant files</w:t>
      </w:r>
    </w:p>
    <w:p w:rsidR="00D759B4" w:rsidRPr="00A5537A" w:rsidRDefault="00D759B4" w:rsidP="00EC64DD">
      <w:pPr>
        <w:tabs>
          <w:tab w:val="left" w:pos="360"/>
        </w:tabs>
        <w:ind w:left="360" w:hanging="360"/>
        <w:rPr>
          <w:bCs/>
        </w:rPr>
      </w:pPr>
    </w:p>
    <w:p w:rsidR="00BA6F7B" w:rsidRPr="007F4E6B" w:rsidRDefault="00BA6F7B" w:rsidP="00BA6F7B">
      <w:pPr>
        <w:numPr>
          <w:ilvl w:val="0"/>
          <w:numId w:val="5"/>
        </w:numPr>
        <w:tabs>
          <w:tab w:val="left" w:pos="360"/>
        </w:tabs>
        <w:suppressAutoHyphens/>
        <w:autoSpaceDE w:val="0"/>
        <w:ind w:left="360"/>
        <w:jc w:val="both"/>
      </w:pPr>
      <w:r w:rsidRPr="007F4E6B">
        <w:t xml:space="preserve">As noted above (see § </w:t>
      </w:r>
      <w:r w:rsidR="00444C32">
        <w:t>32</w:t>
      </w:r>
      <w:r w:rsidRPr="007F4E6B">
        <w:t xml:space="preserve">), UNMIK was not able to provide to the Panel any files related to the investigation concerning the perpetrators of the abduction and killing of </w:t>
      </w:r>
      <w:proofErr w:type="spellStart"/>
      <w:r w:rsidR="0059057A" w:rsidRPr="007F4E6B">
        <w:rPr>
          <w:lang w:val="en-GB"/>
        </w:rPr>
        <w:t>Borislav</w:t>
      </w:r>
      <w:proofErr w:type="spellEnd"/>
      <w:r w:rsidR="0059057A" w:rsidRPr="007F4E6B">
        <w:rPr>
          <w:lang w:val="en-GB"/>
        </w:rPr>
        <w:t xml:space="preserve"> </w:t>
      </w:r>
      <w:proofErr w:type="spellStart"/>
      <w:r w:rsidR="0059057A" w:rsidRPr="007F4E6B">
        <w:rPr>
          <w:lang w:val="en-GB"/>
        </w:rPr>
        <w:t>Pavić</w:t>
      </w:r>
      <w:proofErr w:type="spellEnd"/>
      <w:r w:rsidRPr="007F4E6B">
        <w:t>.</w:t>
      </w:r>
    </w:p>
    <w:p w:rsidR="00BA6F7B" w:rsidRPr="007F4E6B" w:rsidRDefault="00BA6F7B" w:rsidP="00BA6F7B">
      <w:pPr>
        <w:tabs>
          <w:tab w:val="left" w:pos="360"/>
        </w:tabs>
        <w:suppressAutoHyphens/>
        <w:autoSpaceDE w:val="0"/>
        <w:ind w:left="360"/>
        <w:jc w:val="both"/>
      </w:pPr>
    </w:p>
    <w:p w:rsidR="00BA6F7B" w:rsidRPr="007F4E6B" w:rsidRDefault="00BA6F7B" w:rsidP="00BA6F7B">
      <w:pPr>
        <w:numPr>
          <w:ilvl w:val="0"/>
          <w:numId w:val="5"/>
        </w:numPr>
        <w:tabs>
          <w:tab w:val="left" w:pos="360"/>
        </w:tabs>
        <w:suppressAutoHyphens/>
        <w:autoSpaceDE w:val="0"/>
        <w:ind w:left="360"/>
        <w:jc w:val="both"/>
      </w:pPr>
      <w:r w:rsidRPr="007F4E6B">
        <w:t>The Panel notes that UNMIK was requested on at least two occasions to submit relevant documents in relation to the case. In response to the latest request from the Panel, UNMIK stated that the disclosure of files concerning the case could be considered final.</w:t>
      </w:r>
    </w:p>
    <w:p w:rsidR="0055213A" w:rsidRPr="00A5537A" w:rsidRDefault="0055213A" w:rsidP="00EC64DD">
      <w:pPr>
        <w:tabs>
          <w:tab w:val="left" w:pos="360"/>
        </w:tabs>
        <w:suppressAutoHyphens/>
        <w:autoSpaceDE w:val="0"/>
        <w:ind w:left="360" w:hanging="360"/>
        <w:jc w:val="both"/>
      </w:pPr>
    </w:p>
    <w:p w:rsidR="00D759B4" w:rsidRPr="00A5537A" w:rsidRDefault="002F65A0" w:rsidP="00EC64DD">
      <w:pPr>
        <w:numPr>
          <w:ilvl w:val="0"/>
          <w:numId w:val="5"/>
        </w:numPr>
        <w:tabs>
          <w:tab w:val="left" w:pos="360"/>
        </w:tabs>
        <w:suppressAutoHyphens/>
        <w:autoSpaceDE w:val="0"/>
        <w:ind w:left="360"/>
        <w:jc w:val="both"/>
      </w:pPr>
      <w:bookmarkStart w:id="19" w:name="_Ref353797805"/>
      <w:r w:rsidRPr="00A5537A">
        <w:t xml:space="preserve">The Panel notes that Section 15 of UNMIK Regulation No. 2006/12 states that the Panel may request the submission from UNMIK of any documents and that the SRSG shall cooperate with the Panel and </w:t>
      </w:r>
      <w:proofErr w:type="gramStart"/>
      <w:r w:rsidRPr="00A5537A">
        <w:t>provide</w:t>
      </w:r>
      <w:proofErr w:type="gramEnd"/>
      <w:r w:rsidRPr="00A5537A">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A5537A">
        <w:t>ECtHR</w:t>
      </w:r>
      <w:proofErr w:type="spellEnd"/>
      <w:r w:rsidRPr="00A5537A">
        <w:t xml:space="preserve">, </w:t>
      </w:r>
      <w:proofErr w:type="spellStart"/>
      <w:r w:rsidRPr="00A5537A">
        <w:rPr>
          <w:rStyle w:val="s7d2086b4"/>
          <w:i/>
        </w:rPr>
        <w:t>Çelikbilek</w:t>
      </w:r>
      <w:proofErr w:type="spellEnd"/>
      <w:r w:rsidRPr="00A5537A">
        <w:rPr>
          <w:rStyle w:val="s7d2086b4"/>
          <w:i/>
        </w:rPr>
        <w:t xml:space="preserve"> </w:t>
      </w:r>
      <w:r w:rsidRPr="00A5537A">
        <w:rPr>
          <w:i/>
        </w:rPr>
        <w:t>v. Turkey</w:t>
      </w:r>
      <w:r w:rsidRPr="00A5537A">
        <w:t xml:space="preserve">, </w:t>
      </w:r>
      <w:r w:rsidRPr="00A5537A">
        <w:rPr>
          <w:color w:val="000000"/>
          <w:lang w:eastAsia="nl-BE"/>
        </w:rPr>
        <w:t>no. 27693/95, judgment of 31 May 2005</w:t>
      </w:r>
      <w:r w:rsidRPr="00A5537A">
        <w:rPr>
          <w:i/>
          <w:iCs/>
          <w:color w:val="000000"/>
          <w:lang w:eastAsia="nl-BE"/>
        </w:rPr>
        <w:t>,</w:t>
      </w:r>
      <w:r w:rsidRPr="00A5537A">
        <w:rPr>
          <w:iCs/>
          <w:color w:val="000000"/>
          <w:lang w:eastAsia="nl-BE"/>
        </w:rPr>
        <w:t xml:space="preserve"> § 56). However, </w:t>
      </w:r>
      <w:r w:rsidRPr="00A5537A">
        <w:t>despite a number of requests</w:t>
      </w:r>
      <w:r w:rsidR="00E50312" w:rsidRPr="00A5537A">
        <w:t xml:space="preserve"> from the Panel</w:t>
      </w:r>
      <w:r w:rsidRPr="00A5537A">
        <w:t xml:space="preserve">, </w:t>
      </w:r>
      <w:r w:rsidR="00D759B4" w:rsidRPr="00A5537A">
        <w:t xml:space="preserve">UNMIK </w:t>
      </w:r>
      <w:r w:rsidR="00DD3E1C" w:rsidRPr="00A5537A">
        <w:t xml:space="preserve">did not </w:t>
      </w:r>
      <w:r w:rsidR="00D759B4" w:rsidRPr="00A5537A">
        <w:t xml:space="preserve">provide to the Panel any investigation documents appertaining to </w:t>
      </w:r>
      <w:r w:rsidRPr="00A5537A">
        <w:t>an</w:t>
      </w:r>
      <w:r w:rsidR="00D759B4" w:rsidRPr="00A5537A">
        <w:t xml:space="preserve"> investigation</w:t>
      </w:r>
      <w:r w:rsidRPr="00A5537A">
        <w:t xml:space="preserve"> into th</w:t>
      </w:r>
      <w:r w:rsidR="00A16C77" w:rsidRPr="00A5537A">
        <w:t xml:space="preserve">e </w:t>
      </w:r>
      <w:r w:rsidR="00D54387" w:rsidRPr="007F4E6B">
        <w:t>abduction</w:t>
      </w:r>
      <w:r w:rsidR="001D3666" w:rsidRPr="007F4E6B">
        <w:t xml:space="preserve"> and killing</w:t>
      </w:r>
      <w:r w:rsidR="00A16C77" w:rsidRPr="007F4E6B">
        <w:t xml:space="preserve"> of </w:t>
      </w:r>
      <w:proofErr w:type="spellStart"/>
      <w:r w:rsidR="0059057A" w:rsidRPr="007F4E6B">
        <w:rPr>
          <w:lang w:val="en-GB"/>
        </w:rPr>
        <w:t>Borislav</w:t>
      </w:r>
      <w:proofErr w:type="spellEnd"/>
      <w:r w:rsidR="0059057A" w:rsidRPr="007F4E6B">
        <w:rPr>
          <w:lang w:val="en-GB"/>
        </w:rPr>
        <w:t xml:space="preserve"> </w:t>
      </w:r>
      <w:proofErr w:type="spellStart"/>
      <w:r w:rsidR="0059057A" w:rsidRPr="007F4E6B">
        <w:rPr>
          <w:lang w:val="en-GB"/>
        </w:rPr>
        <w:t>Pavić</w:t>
      </w:r>
      <w:proofErr w:type="spellEnd"/>
      <w:r w:rsidRPr="00A5537A">
        <w:t>.</w:t>
      </w:r>
      <w:bookmarkEnd w:id="19"/>
    </w:p>
    <w:p w:rsidR="00D759B4" w:rsidRPr="00A5537A" w:rsidRDefault="00D759B4" w:rsidP="00EC64DD">
      <w:pPr>
        <w:tabs>
          <w:tab w:val="left" w:pos="360"/>
        </w:tabs>
        <w:ind w:left="360" w:hanging="360"/>
        <w:jc w:val="both"/>
      </w:pPr>
    </w:p>
    <w:p w:rsidR="00D759B4" w:rsidRPr="00A5537A" w:rsidRDefault="00D759B4" w:rsidP="00EC64DD">
      <w:pPr>
        <w:numPr>
          <w:ilvl w:val="0"/>
          <w:numId w:val="5"/>
        </w:numPr>
        <w:tabs>
          <w:tab w:val="left" w:pos="360"/>
        </w:tabs>
        <w:suppressAutoHyphens/>
        <w:ind w:left="360"/>
        <w:jc w:val="both"/>
      </w:pPr>
      <w:r w:rsidRPr="00A5537A">
        <w:t xml:space="preserve">The Panel </w:t>
      </w:r>
      <w:r w:rsidR="002F65A0" w:rsidRPr="00A5537A">
        <w:t xml:space="preserve">also </w:t>
      </w:r>
      <w:r w:rsidRPr="00A5537A">
        <w:t xml:space="preserve">notes that the proper maintenance of investigative files concerning crimes such as killings and disappearances, from the opening of investigations to their handing over, is crucial to the continuation of such investigations and failure to do so could thus raise </w:t>
      </w:r>
      <w:r w:rsidRPr="00A5537A">
        <w:rPr>
          <w:i/>
        </w:rPr>
        <w:t>per se</w:t>
      </w:r>
      <w:r w:rsidRPr="00A5537A">
        <w:t xml:space="preserve"> issues under Article 2. The Panel </w:t>
      </w:r>
      <w:r w:rsidR="006C6D94" w:rsidRPr="00A5537A">
        <w:t>likewise</w:t>
      </w:r>
      <w:r w:rsidRPr="00A5537A">
        <w:t xml:space="preserve"> notes that UNMIK has not provided any explanation for the lack of </w:t>
      </w:r>
      <w:r w:rsidR="00E50312" w:rsidRPr="00A5537A">
        <w:t xml:space="preserve">any </w:t>
      </w:r>
      <w:r w:rsidRPr="00A5537A">
        <w:t xml:space="preserve">documentation. </w:t>
      </w:r>
    </w:p>
    <w:p w:rsidR="00D759B4" w:rsidRPr="00A5537A" w:rsidRDefault="00D759B4" w:rsidP="00EC64DD">
      <w:pPr>
        <w:tabs>
          <w:tab w:val="left" w:pos="360"/>
        </w:tabs>
        <w:ind w:left="360" w:hanging="360"/>
        <w:jc w:val="both"/>
      </w:pPr>
    </w:p>
    <w:p w:rsidR="00D759B4" w:rsidRPr="00A5537A" w:rsidRDefault="00D759B4" w:rsidP="00EC64DD">
      <w:pPr>
        <w:numPr>
          <w:ilvl w:val="0"/>
          <w:numId w:val="5"/>
        </w:numPr>
        <w:tabs>
          <w:tab w:val="left" w:pos="360"/>
        </w:tabs>
        <w:ind w:left="360"/>
        <w:jc w:val="both"/>
      </w:pPr>
      <w:r w:rsidRPr="00A5537A">
        <w:t xml:space="preserve">The Panel has no reason to doubt that UNMIK undertook all efforts in order to obtain the relevant investigation files. However, despite ample time given to UNMIK for that purpose (more than two years), neither files, nor a plausible explanation of the reasons for their complete absence, were presented to the Panel. Therefore, the Panel has no other course of action but to proceed with an examination of the merits of this complaint only on the basis of documents made available by the complainant and the scarce information provided UNMIK, and to draw inferences from this situation (in this sense, see </w:t>
      </w:r>
      <w:proofErr w:type="spellStart"/>
      <w:r w:rsidRPr="00A5537A">
        <w:t>ECtHR</w:t>
      </w:r>
      <w:proofErr w:type="spellEnd"/>
      <w:r w:rsidRPr="00A5537A">
        <w:t xml:space="preserve">, </w:t>
      </w:r>
      <w:proofErr w:type="spellStart"/>
      <w:r w:rsidRPr="00A5537A">
        <w:rPr>
          <w:i/>
        </w:rPr>
        <w:t>Tsechoyev</w:t>
      </w:r>
      <w:proofErr w:type="spellEnd"/>
      <w:r w:rsidRPr="00A5537A">
        <w:rPr>
          <w:i/>
        </w:rPr>
        <w:t xml:space="preserve"> v. Russia</w:t>
      </w:r>
      <w:r w:rsidRPr="00A5537A">
        <w:t xml:space="preserve">, </w:t>
      </w:r>
      <w:r w:rsidR="00FB157F" w:rsidRPr="00A5537A">
        <w:t xml:space="preserve">no. 39358/05, </w:t>
      </w:r>
      <w:r w:rsidRPr="00A5537A">
        <w:t>judgment of</w:t>
      </w:r>
      <w:r w:rsidRPr="00A5537A">
        <w:rPr>
          <w:i/>
        </w:rPr>
        <w:t xml:space="preserve"> </w:t>
      </w:r>
      <w:r w:rsidRPr="00A5537A">
        <w:t xml:space="preserve">15 March 2011, § 146). </w:t>
      </w:r>
    </w:p>
    <w:p w:rsidR="002E28B8" w:rsidRPr="00A5537A" w:rsidRDefault="002E28B8" w:rsidP="00EC64DD">
      <w:pPr>
        <w:tabs>
          <w:tab w:val="left" w:pos="360"/>
        </w:tabs>
        <w:suppressAutoHyphens/>
        <w:autoSpaceDE w:val="0"/>
        <w:ind w:left="360" w:hanging="360"/>
        <w:jc w:val="both"/>
        <w:rPr>
          <w:b/>
          <w:bCs/>
          <w:i/>
          <w:lang w:val="en-GB"/>
        </w:rPr>
      </w:pPr>
    </w:p>
    <w:p w:rsidR="00831AA2" w:rsidRPr="00A5537A" w:rsidRDefault="00831AA2" w:rsidP="00EC64DD">
      <w:pPr>
        <w:pStyle w:val="ListParagraph"/>
        <w:numPr>
          <w:ilvl w:val="0"/>
          <w:numId w:val="35"/>
        </w:numPr>
        <w:tabs>
          <w:tab w:val="left" w:pos="360"/>
        </w:tabs>
        <w:suppressAutoHyphens w:val="0"/>
        <w:ind w:left="360"/>
        <w:contextualSpacing/>
        <w:jc w:val="both"/>
        <w:rPr>
          <w:i/>
          <w:color w:val="000000"/>
          <w:lang w:eastAsia="en-US"/>
        </w:rPr>
      </w:pPr>
      <w:r w:rsidRPr="00A5537A">
        <w:rPr>
          <w:i/>
          <w:color w:val="000000"/>
          <w:lang w:eastAsia="en-US"/>
        </w:rPr>
        <w:t>General principles concerning the obligation to conduct an effective investigation under Article 2</w:t>
      </w:r>
    </w:p>
    <w:p w:rsidR="00FE4F38" w:rsidRPr="00A5537A" w:rsidRDefault="00FE4F38" w:rsidP="00EC64DD">
      <w:pPr>
        <w:tabs>
          <w:tab w:val="left" w:pos="360"/>
        </w:tabs>
        <w:ind w:left="360" w:hanging="360"/>
        <w:rPr>
          <w:lang w:val="en-GB"/>
        </w:rPr>
      </w:pPr>
      <w:bookmarkStart w:id="20" w:name="_Ref342296803"/>
    </w:p>
    <w:p w:rsidR="00BE2B89" w:rsidRPr="00A5537A" w:rsidRDefault="005200EF" w:rsidP="00EC64DD">
      <w:pPr>
        <w:numPr>
          <w:ilvl w:val="0"/>
          <w:numId w:val="5"/>
        </w:numPr>
        <w:tabs>
          <w:tab w:val="left" w:pos="360"/>
        </w:tabs>
        <w:suppressAutoHyphens/>
        <w:autoSpaceDE w:val="0"/>
        <w:ind w:left="360"/>
        <w:jc w:val="both"/>
        <w:rPr>
          <w:lang w:val="en-GB"/>
        </w:rPr>
      </w:pPr>
      <w:bookmarkStart w:id="21" w:name="_Ref347993393"/>
      <w:r w:rsidRPr="00A5537A">
        <w:rPr>
          <w:lang w:val="en-GB"/>
        </w:rPr>
        <w:t>First, t</w:t>
      </w:r>
      <w:r w:rsidR="000A6899" w:rsidRPr="00A5537A">
        <w:rPr>
          <w:lang w:val="en-GB"/>
        </w:rPr>
        <w:t>he Panel considers</w:t>
      </w:r>
      <w:r w:rsidRPr="00A5537A">
        <w:rPr>
          <w:lang w:val="en-GB"/>
        </w:rPr>
        <w:t xml:space="preserve"> </w:t>
      </w:r>
      <w:r w:rsidR="000A6899" w:rsidRPr="00A5537A">
        <w:rPr>
          <w:lang w:val="en-GB"/>
        </w:rPr>
        <w:t xml:space="preserve">that the lack of any investigative files raises issues of the burden of proof. </w:t>
      </w:r>
      <w:r w:rsidR="00C074FA" w:rsidRPr="00A5537A">
        <w:rPr>
          <w:lang w:val="en-GB"/>
        </w:rPr>
        <w:t>In this regard, t</w:t>
      </w:r>
      <w:r w:rsidR="004F19FC" w:rsidRPr="00A5537A">
        <w:rPr>
          <w:lang w:val="en-GB"/>
        </w:rPr>
        <w:t>he Panel</w:t>
      </w:r>
      <w:r w:rsidR="00E63DF9" w:rsidRPr="00A5537A">
        <w:rPr>
          <w:lang w:val="en-GB"/>
        </w:rPr>
        <w:t xml:space="preserve"> </w:t>
      </w:r>
      <w:r w:rsidR="0022343B" w:rsidRPr="00A5537A">
        <w:rPr>
          <w:lang w:val="en-GB"/>
        </w:rPr>
        <w:t>refer</w:t>
      </w:r>
      <w:r w:rsidR="004F19FC" w:rsidRPr="00A5537A">
        <w:rPr>
          <w:lang w:val="en-GB"/>
        </w:rPr>
        <w:t>s</w:t>
      </w:r>
      <w:r w:rsidR="0022343B" w:rsidRPr="00A5537A">
        <w:rPr>
          <w:lang w:val="en-GB"/>
        </w:rPr>
        <w:t xml:space="preserve"> to the approach of the </w:t>
      </w:r>
      <w:r w:rsidR="0022343B" w:rsidRPr="00A5537A">
        <w:rPr>
          <w:color w:val="000000"/>
        </w:rPr>
        <w:t>European Court on Human Rights</w:t>
      </w:r>
      <w:r w:rsidR="00B96406" w:rsidRPr="00A5537A">
        <w:rPr>
          <w:color w:val="000000"/>
        </w:rPr>
        <w:t xml:space="preserve"> as well as of the </w:t>
      </w:r>
      <w:r w:rsidR="00DB2E6D" w:rsidRPr="00A5537A">
        <w:rPr>
          <w:color w:val="000000"/>
        </w:rPr>
        <w:t xml:space="preserve">United Nations </w:t>
      </w:r>
      <w:r w:rsidR="00B96406" w:rsidRPr="00A5537A">
        <w:rPr>
          <w:color w:val="000000"/>
        </w:rPr>
        <w:t>Human Rights Committee</w:t>
      </w:r>
      <w:r w:rsidR="00C074FA" w:rsidRPr="00A5537A">
        <w:rPr>
          <w:color w:val="000000"/>
        </w:rPr>
        <w:t xml:space="preserve"> </w:t>
      </w:r>
      <w:r w:rsidR="009031E4" w:rsidRPr="00A5537A">
        <w:rPr>
          <w:color w:val="000000"/>
        </w:rPr>
        <w:t xml:space="preserve">(HRC) </w:t>
      </w:r>
      <w:r w:rsidR="00C074FA" w:rsidRPr="00A5537A">
        <w:rPr>
          <w:color w:val="000000"/>
        </w:rPr>
        <w:t>on the matter</w:t>
      </w:r>
      <w:r w:rsidR="0022343B" w:rsidRPr="00A5537A">
        <w:rPr>
          <w:lang w:val="en-GB"/>
        </w:rPr>
        <w:t>.</w:t>
      </w:r>
      <w:r w:rsidR="00BE2B89" w:rsidRPr="00A5537A">
        <w:rPr>
          <w:lang w:val="en-GB"/>
        </w:rPr>
        <w:t xml:space="preserve"> The general rule is that it is for the party who asserts a </w:t>
      </w:r>
      <w:r w:rsidR="000A6899" w:rsidRPr="00A5537A">
        <w:rPr>
          <w:lang w:val="en-GB"/>
        </w:rPr>
        <w:t>proposition of fact to prove it</w:t>
      </w:r>
      <w:r w:rsidR="00715413" w:rsidRPr="00A5537A">
        <w:rPr>
          <w:lang w:val="en-GB"/>
        </w:rPr>
        <w:t>,</w:t>
      </w:r>
      <w:r w:rsidR="000A6899" w:rsidRPr="00A5537A">
        <w:rPr>
          <w:lang w:val="en-GB"/>
        </w:rPr>
        <w:t xml:space="preserve"> but </w:t>
      </w:r>
      <w:r w:rsidR="00715413" w:rsidRPr="00A5537A">
        <w:rPr>
          <w:lang w:val="en-GB"/>
        </w:rPr>
        <w:t xml:space="preserve">that </w:t>
      </w:r>
      <w:r w:rsidR="000A6899" w:rsidRPr="00A5537A">
        <w:rPr>
          <w:lang w:val="en-GB"/>
        </w:rPr>
        <w:t>this is not a rigid rule.</w:t>
      </w:r>
      <w:bookmarkEnd w:id="20"/>
      <w:bookmarkEnd w:id="21"/>
    </w:p>
    <w:p w:rsidR="000A6899" w:rsidRPr="00A5537A" w:rsidRDefault="000A6899" w:rsidP="00EC64DD">
      <w:pPr>
        <w:tabs>
          <w:tab w:val="left" w:pos="360"/>
        </w:tabs>
        <w:suppressAutoHyphens/>
        <w:autoSpaceDE w:val="0"/>
        <w:ind w:left="360" w:hanging="360"/>
        <w:jc w:val="both"/>
        <w:rPr>
          <w:lang w:val="en-GB"/>
        </w:rPr>
      </w:pPr>
    </w:p>
    <w:p w:rsidR="00696442" w:rsidRPr="00C91DB9" w:rsidRDefault="006D6DDA" w:rsidP="00EC64DD">
      <w:pPr>
        <w:numPr>
          <w:ilvl w:val="0"/>
          <w:numId w:val="5"/>
        </w:numPr>
        <w:tabs>
          <w:tab w:val="left" w:pos="360"/>
        </w:tabs>
        <w:suppressAutoHyphens/>
        <w:autoSpaceDE w:val="0"/>
        <w:ind w:left="360"/>
        <w:jc w:val="both"/>
        <w:rPr>
          <w:b/>
          <w:lang w:val="en-GB"/>
        </w:rPr>
      </w:pPr>
      <w:bookmarkStart w:id="22" w:name="_Ref342296805"/>
      <w:r w:rsidRPr="00A5537A">
        <w:rPr>
          <w:lang w:val="en-GB"/>
        </w:rPr>
        <w:t>F</w:t>
      </w:r>
      <w:r w:rsidR="00BE2B89" w:rsidRPr="00A5537A">
        <w:rPr>
          <w:lang w:val="en-GB"/>
        </w:rPr>
        <w:t>ollowing this</w:t>
      </w:r>
      <w:r w:rsidR="0022343B" w:rsidRPr="00A5537A">
        <w:rPr>
          <w:lang w:val="en-GB"/>
        </w:rPr>
        <w:t xml:space="preserve"> general </w:t>
      </w:r>
      <w:r w:rsidR="00BE2B89" w:rsidRPr="00A5537A">
        <w:rPr>
          <w:lang w:val="en-GB"/>
        </w:rPr>
        <w:t>r</w:t>
      </w:r>
      <w:r w:rsidR="0022343B" w:rsidRPr="00A5537A">
        <w:rPr>
          <w:lang w:val="en-GB"/>
        </w:rPr>
        <w:t xml:space="preserve">ule, at the admissibility stage </w:t>
      </w:r>
      <w:r w:rsidR="00696442" w:rsidRPr="00A5537A">
        <w:rPr>
          <w:lang w:val="en-GB"/>
        </w:rPr>
        <w:t>an</w:t>
      </w:r>
      <w:r w:rsidR="0022343B" w:rsidRPr="00A5537A">
        <w:rPr>
          <w:lang w:val="en-GB"/>
        </w:rPr>
        <w:t xml:space="preserve"> applicant must present</w:t>
      </w:r>
      <w:r w:rsidR="004F19FC" w:rsidRPr="00A5537A">
        <w:rPr>
          <w:lang w:val="en-GB"/>
        </w:rPr>
        <w:t xml:space="preserve"> </w:t>
      </w:r>
      <w:r w:rsidR="0022343B" w:rsidRPr="00A5537A">
        <w:rPr>
          <w:lang w:val="en-GB"/>
        </w:rPr>
        <w:t>facts, which are supportive of the allegations</w:t>
      </w:r>
      <w:r w:rsidR="00696442" w:rsidRPr="00A5537A">
        <w:rPr>
          <w:lang w:val="en-GB"/>
        </w:rPr>
        <w:t xml:space="preserve"> of </w:t>
      </w:r>
      <w:r w:rsidR="00E50312" w:rsidRPr="00A5537A">
        <w:rPr>
          <w:lang w:val="en-GB"/>
        </w:rPr>
        <w:t xml:space="preserve">the </w:t>
      </w:r>
      <w:r w:rsidR="00696442" w:rsidRPr="00A5537A">
        <w:rPr>
          <w:lang w:val="en-GB"/>
        </w:rPr>
        <w:t>State’s responsibility</w:t>
      </w:r>
      <w:r w:rsidR="005200EF" w:rsidRPr="00A5537A">
        <w:rPr>
          <w:lang w:val="en-GB"/>
        </w:rPr>
        <w:t>, that is,</w:t>
      </w:r>
      <w:r w:rsidR="00DF051A" w:rsidRPr="00A5537A">
        <w:rPr>
          <w:lang w:val="en-GB"/>
        </w:rPr>
        <w:t xml:space="preserve"> to establish a </w:t>
      </w:r>
      <w:r w:rsidR="00DF051A" w:rsidRPr="00A5537A">
        <w:rPr>
          <w:i/>
          <w:lang w:val="en-GB"/>
        </w:rPr>
        <w:t>prima facie</w:t>
      </w:r>
      <w:r w:rsidR="00DF051A" w:rsidRPr="00A5537A">
        <w:rPr>
          <w:lang w:val="en-GB"/>
        </w:rPr>
        <w:t xml:space="preserve"> case</w:t>
      </w:r>
      <w:r w:rsidR="0022343B" w:rsidRPr="00A5537A">
        <w:rPr>
          <w:lang w:val="en-GB"/>
        </w:rPr>
        <w:t xml:space="preserve"> </w:t>
      </w:r>
      <w:r w:rsidR="00696442" w:rsidRPr="00A5537A">
        <w:rPr>
          <w:lang w:val="en-GB"/>
        </w:rPr>
        <w:t xml:space="preserve">against the authorities </w:t>
      </w:r>
      <w:r w:rsidR="00DF051A" w:rsidRPr="00A5537A">
        <w:rPr>
          <w:lang w:val="en-GB"/>
        </w:rPr>
        <w:t>(see</w:t>
      </w:r>
      <w:r w:rsidR="00B96406" w:rsidRPr="00A5537A">
        <w:rPr>
          <w:lang w:val="en-GB"/>
        </w:rPr>
        <w:t xml:space="preserve">, </w:t>
      </w:r>
      <w:r w:rsidR="00B96406" w:rsidRPr="00A5537A">
        <w:rPr>
          <w:i/>
          <w:lang w:val="en-GB"/>
        </w:rPr>
        <w:t>mutatis mutandis</w:t>
      </w:r>
      <w:r w:rsidR="00B96406" w:rsidRPr="00A5537A">
        <w:rPr>
          <w:lang w:val="en-GB"/>
        </w:rPr>
        <w:t>,</w:t>
      </w:r>
      <w:r w:rsidR="00DF051A" w:rsidRPr="00A5537A">
        <w:rPr>
          <w:lang w:val="en-GB"/>
        </w:rPr>
        <w:t xml:space="preserve"> </w:t>
      </w:r>
      <w:proofErr w:type="spellStart"/>
      <w:r w:rsidR="00DF051A" w:rsidRPr="00A5537A">
        <w:rPr>
          <w:lang w:val="en-GB"/>
        </w:rPr>
        <w:t>ECtHR</w:t>
      </w:r>
      <w:proofErr w:type="spellEnd"/>
      <w:r w:rsidR="00DF051A" w:rsidRPr="00A5537A">
        <w:rPr>
          <w:lang w:val="en-GB"/>
        </w:rPr>
        <w:t xml:space="preserve">, </w:t>
      </w:r>
      <w:proofErr w:type="spellStart"/>
      <w:r w:rsidR="00DF051A" w:rsidRPr="00A5537A">
        <w:rPr>
          <w:i/>
          <w:iCs/>
        </w:rPr>
        <w:t>Artico</w:t>
      </w:r>
      <w:proofErr w:type="spellEnd"/>
      <w:r w:rsidR="00DF051A" w:rsidRPr="00A5537A">
        <w:rPr>
          <w:i/>
          <w:iCs/>
        </w:rPr>
        <w:t xml:space="preserve"> </w:t>
      </w:r>
      <w:r w:rsidR="00A40976" w:rsidRPr="00A5537A">
        <w:rPr>
          <w:i/>
          <w:iCs/>
        </w:rPr>
        <w:t>v</w:t>
      </w:r>
      <w:r w:rsidR="00544F56" w:rsidRPr="00A5537A">
        <w:rPr>
          <w:i/>
          <w:iCs/>
        </w:rPr>
        <w:t>.</w:t>
      </w:r>
      <w:r w:rsidR="00DF051A" w:rsidRPr="00A5537A">
        <w:rPr>
          <w:i/>
          <w:iCs/>
        </w:rPr>
        <w:t xml:space="preserve"> Italy</w:t>
      </w:r>
      <w:r w:rsidR="00DF051A" w:rsidRPr="00A5537A">
        <w:t xml:space="preserve">, no. 6694/74, </w:t>
      </w:r>
      <w:r w:rsidR="00B0095F" w:rsidRPr="00A5537A">
        <w:t xml:space="preserve">judgment </w:t>
      </w:r>
      <w:r w:rsidR="00DF051A" w:rsidRPr="00A5537A">
        <w:t>of 13</w:t>
      </w:r>
      <w:r w:rsidR="00B0095F" w:rsidRPr="00A5537A">
        <w:t xml:space="preserve"> May </w:t>
      </w:r>
      <w:r w:rsidR="00DF051A" w:rsidRPr="00A5537A">
        <w:t xml:space="preserve">1980, </w:t>
      </w:r>
      <w:r w:rsidR="00B0095F" w:rsidRPr="00A5537A">
        <w:t xml:space="preserve">§§ 29-30, </w:t>
      </w:r>
      <w:r w:rsidR="00DF051A" w:rsidRPr="00A5537A">
        <w:t>Series A no. 37</w:t>
      </w:r>
      <w:r w:rsidR="00696442" w:rsidRPr="00A5537A">
        <w:t xml:space="preserve">; </w:t>
      </w:r>
      <w:proofErr w:type="spellStart"/>
      <w:r w:rsidR="00012218" w:rsidRPr="00A5537A">
        <w:t>ECtHR</w:t>
      </w:r>
      <w:proofErr w:type="spellEnd"/>
      <w:r w:rsidR="00012218" w:rsidRPr="00A5537A">
        <w:t xml:space="preserve">, </w:t>
      </w:r>
      <w:proofErr w:type="spellStart"/>
      <w:r w:rsidR="00696442" w:rsidRPr="00A5537A">
        <w:rPr>
          <w:i/>
        </w:rPr>
        <w:t>To</w:t>
      </w:r>
      <w:r w:rsidR="004F231E" w:rsidRPr="00A5537A">
        <w:rPr>
          <w:i/>
        </w:rPr>
        <w:t>ğ</w:t>
      </w:r>
      <w:r w:rsidR="00696442" w:rsidRPr="00A5537A">
        <w:rPr>
          <w:i/>
        </w:rPr>
        <w:t>cu</w:t>
      </w:r>
      <w:proofErr w:type="spellEnd"/>
      <w:r w:rsidR="00696442" w:rsidRPr="00A5537A">
        <w:rPr>
          <w:i/>
        </w:rPr>
        <w:t xml:space="preserve"> v</w:t>
      </w:r>
      <w:r w:rsidR="00544F56" w:rsidRPr="00A5537A">
        <w:rPr>
          <w:i/>
        </w:rPr>
        <w:t>.</w:t>
      </w:r>
      <w:r w:rsidR="00696442" w:rsidRPr="00A5537A">
        <w:rPr>
          <w:i/>
        </w:rPr>
        <w:t xml:space="preserve"> Turkey</w:t>
      </w:r>
      <w:r w:rsidR="00696442" w:rsidRPr="00A5537A">
        <w:t>, no. 27601/95, judgment of 31 May 2005, § 95</w:t>
      </w:r>
      <w:r w:rsidR="007F7B95" w:rsidRPr="00A5537A">
        <w:t xml:space="preserve">). </w:t>
      </w:r>
      <w:r w:rsidR="000A6899" w:rsidRPr="00A5537A">
        <w:t>However</w:t>
      </w:r>
      <w:r w:rsidR="00E63DF9" w:rsidRPr="00A5537A">
        <w:t xml:space="preserve">, </w:t>
      </w:r>
      <w:r w:rsidR="00C074FA" w:rsidRPr="00A5537A">
        <w:t>the</w:t>
      </w:r>
      <w:r w:rsidR="007F7B95" w:rsidRPr="00A5537A">
        <w:t xml:space="preserve"> European</w:t>
      </w:r>
      <w:r w:rsidR="00C074FA" w:rsidRPr="00A5537A">
        <w:t xml:space="preserve"> Court further holds that </w:t>
      </w:r>
      <w:r w:rsidR="00263801" w:rsidRPr="00A5537A">
        <w:rPr>
          <w:lang w:val="en-GB"/>
        </w:rPr>
        <w:t xml:space="preserve">“... </w:t>
      </w:r>
      <w:r w:rsidR="00263801" w:rsidRPr="00A5537A">
        <w:t xml:space="preserve">where the events in issue lie wholly, or in large part, within the exclusive knowledge of the authorities … The burden of proof may then be </w:t>
      </w:r>
      <w:r w:rsidR="00263801" w:rsidRPr="00C91DB9">
        <w:t>regarded as resting on the authorities to provide a satisfactory and convincing explanation</w:t>
      </w:r>
      <w:r w:rsidR="00454AA4" w:rsidRPr="00C91DB9">
        <w:t>”</w:t>
      </w:r>
      <w:r w:rsidR="00263801" w:rsidRPr="00C91DB9">
        <w:t xml:space="preserve"> (</w:t>
      </w:r>
      <w:r w:rsidR="00263801" w:rsidRPr="00C91DB9">
        <w:rPr>
          <w:lang w:val="en-GB"/>
        </w:rPr>
        <w:t xml:space="preserve">see </w:t>
      </w:r>
      <w:proofErr w:type="spellStart"/>
      <w:r w:rsidR="00263801" w:rsidRPr="00C91DB9">
        <w:rPr>
          <w:lang w:val="en-GB"/>
        </w:rPr>
        <w:t>ECtHR</w:t>
      </w:r>
      <w:proofErr w:type="spellEnd"/>
      <w:r w:rsidR="00C81172" w:rsidRPr="00C91DB9">
        <w:rPr>
          <w:lang w:val="en-GB"/>
        </w:rPr>
        <w:t xml:space="preserve"> [GC]</w:t>
      </w:r>
      <w:r w:rsidR="00263801" w:rsidRPr="00C91DB9">
        <w:rPr>
          <w:lang w:val="en-GB"/>
        </w:rPr>
        <w:t xml:space="preserve">, </w:t>
      </w:r>
      <w:proofErr w:type="spellStart"/>
      <w:r w:rsidR="00263801" w:rsidRPr="00C91DB9">
        <w:rPr>
          <w:i/>
          <w:iCs/>
        </w:rPr>
        <w:t>Varnava</w:t>
      </w:r>
      <w:proofErr w:type="spellEnd"/>
      <w:r w:rsidR="00263801" w:rsidRPr="00C91DB9">
        <w:rPr>
          <w:i/>
          <w:iCs/>
        </w:rPr>
        <w:t xml:space="preserve"> and Others v </w:t>
      </w:r>
      <w:r w:rsidR="007C62D8" w:rsidRPr="00C91DB9">
        <w:rPr>
          <w:i/>
          <w:iCs/>
        </w:rPr>
        <w:t>Turkey</w:t>
      </w:r>
      <w:r w:rsidR="007C62D8" w:rsidRPr="00C91DB9">
        <w:rPr>
          <w:iCs/>
        </w:rPr>
        <w:t>,</w:t>
      </w:r>
      <w:r w:rsidR="007C62D8" w:rsidRPr="00C91DB9">
        <w:rPr>
          <w:i/>
          <w:iCs/>
        </w:rPr>
        <w:t xml:space="preserve"> </w:t>
      </w:r>
      <w:r w:rsidR="005200EF" w:rsidRPr="00C91DB9">
        <w:t>cited above</w:t>
      </w:r>
      <w:r w:rsidR="007C62D8" w:rsidRPr="00C91DB9">
        <w:t xml:space="preserve"> </w:t>
      </w:r>
      <w:r w:rsidR="00544F56" w:rsidRPr="00C91DB9">
        <w:t xml:space="preserve">in </w:t>
      </w:r>
      <w:r w:rsidR="007C62D8" w:rsidRPr="00444C32">
        <w:t>§</w:t>
      </w:r>
      <w:r w:rsidR="00470CE7" w:rsidRPr="00444C32">
        <w:t xml:space="preserve"> </w:t>
      </w:r>
      <w:fldSimple w:instr=" REF _Ref346123885 \r \h  \* MERGEFORMAT ">
        <w:r w:rsidR="00444C32" w:rsidRPr="00444C32">
          <w:t>39</w:t>
        </w:r>
      </w:fldSimple>
      <w:r w:rsidR="007C62D8" w:rsidRPr="00444C32">
        <w:t>,</w:t>
      </w:r>
      <w:r w:rsidR="007C62D8" w:rsidRPr="00C91DB9">
        <w:t xml:space="preserve"> at §§ 183-184</w:t>
      </w:r>
      <w:r w:rsidR="00F96434" w:rsidRPr="00C91DB9">
        <w:t>)</w:t>
      </w:r>
      <w:r w:rsidR="007C62D8" w:rsidRPr="00C91DB9">
        <w:t>.</w:t>
      </w:r>
      <w:bookmarkEnd w:id="22"/>
    </w:p>
    <w:p w:rsidR="0012508E" w:rsidRPr="00C91DB9" w:rsidRDefault="0012508E" w:rsidP="00EC64DD">
      <w:pPr>
        <w:tabs>
          <w:tab w:val="left" w:pos="360"/>
        </w:tabs>
        <w:suppressAutoHyphens/>
        <w:autoSpaceDE w:val="0"/>
        <w:ind w:left="360" w:hanging="360"/>
        <w:jc w:val="both"/>
        <w:rPr>
          <w:b/>
          <w:lang w:val="en-GB"/>
        </w:rPr>
      </w:pPr>
    </w:p>
    <w:p w:rsidR="00F96434" w:rsidRPr="00A5537A" w:rsidRDefault="003261AD" w:rsidP="00EC64DD">
      <w:pPr>
        <w:numPr>
          <w:ilvl w:val="0"/>
          <w:numId w:val="5"/>
        </w:numPr>
        <w:tabs>
          <w:tab w:val="left" w:pos="360"/>
        </w:tabs>
        <w:suppressAutoHyphens/>
        <w:autoSpaceDE w:val="0"/>
        <w:ind w:left="360"/>
        <w:jc w:val="both"/>
        <w:rPr>
          <w:lang w:val="en-GB"/>
        </w:rPr>
      </w:pPr>
      <w:r w:rsidRPr="00C91DB9">
        <w:rPr>
          <w:lang w:val="en-GB"/>
        </w:rPr>
        <w:t xml:space="preserve">The </w:t>
      </w:r>
      <w:r w:rsidR="00B0095F" w:rsidRPr="00C91DB9">
        <w:rPr>
          <w:lang w:val="en-GB"/>
        </w:rPr>
        <w:t xml:space="preserve">European Court </w:t>
      </w:r>
      <w:r w:rsidRPr="00C91DB9">
        <w:rPr>
          <w:lang w:val="en-GB"/>
        </w:rPr>
        <w:t xml:space="preserve">also states </w:t>
      </w:r>
      <w:r w:rsidR="00B0095F" w:rsidRPr="00C91DB9">
        <w:rPr>
          <w:lang w:val="en-GB"/>
        </w:rPr>
        <w:t xml:space="preserve">that “... </w:t>
      </w:r>
      <w:r w:rsidR="00B0095F" w:rsidRPr="00C91DB9">
        <w:t>it is for the Government either to argue conclusively why the documents in question cannot serve to corroborate the allegations made by the applicants</w:t>
      </w:r>
      <w:r w:rsidR="00B0095F" w:rsidRPr="00A5537A">
        <w:t>, or to provide a satisfactory and convincing explanation of how the events in question occurred, failing which an issue under Article 2 and/or Article 3 of the Convention will arise</w:t>
      </w:r>
      <w:r w:rsidR="004F231E" w:rsidRPr="00A5537A">
        <w:t>”</w:t>
      </w:r>
      <w:r w:rsidR="00B0095F" w:rsidRPr="00A5537A">
        <w:t xml:space="preserve"> (see </w:t>
      </w:r>
      <w:proofErr w:type="spellStart"/>
      <w:r w:rsidR="00B0095F" w:rsidRPr="00A5537A">
        <w:t>ECtHR</w:t>
      </w:r>
      <w:proofErr w:type="spellEnd"/>
      <w:r w:rsidR="00B0095F" w:rsidRPr="00A5537A">
        <w:t xml:space="preserve">, </w:t>
      </w:r>
      <w:proofErr w:type="spellStart"/>
      <w:r w:rsidR="00B0095F" w:rsidRPr="00A5537A">
        <w:rPr>
          <w:i/>
          <w:iCs/>
        </w:rPr>
        <w:t>Akkum</w:t>
      </w:r>
      <w:proofErr w:type="spellEnd"/>
      <w:r w:rsidR="00B0095F" w:rsidRPr="00A5537A">
        <w:rPr>
          <w:i/>
          <w:iCs/>
        </w:rPr>
        <w:t xml:space="preserve"> and Others v</w:t>
      </w:r>
      <w:r w:rsidR="00544F56" w:rsidRPr="00A5537A">
        <w:rPr>
          <w:i/>
          <w:iCs/>
        </w:rPr>
        <w:t>.</w:t>
      </w:r>
      <w:r w:rsidR="00B0095F" w:rsidRPr="00A5537A">
        <w:rPr>
          <w:i/>
          <w:iCs/>
        </w:rPr>
        <w:t xml:space="preserve"> Turkey</w:t>
      </w:r>
      <w:r w:rsidR="00B0095F" w:rsidRPr="00A5537A">
        <w:t>, no. 21894/93, judgment of 24 June 2005, § 211, ECHR 2005-II (extracts)).</w:t>
      </w:r>
      <w:r w:rsidRPr="00A5537A">
        <w:t xml:space="preserve"> The Court adds that “… [</w:t>
      </w:r>
      <w:proofErr w:type="spellStart"/>
      <w:r w:rsidRPr="00A5537A">
        <w:t>i</w:t>
      </w:r>
      <w:proofErr w:type="spellEnd"/>
      <w:r w:rsidRPr="00A5537A">
        <w:t>]f they [the authorities] then fail to disclose crucial documents to enable the Court to establish the facts or otherwise provide a satisfactory and convincing explanation, strong inferences may be drawn</w:t>
      </w:r>
      <w:r w:rsidR="00BB4131" w:rsidRPr="00A5537A">
        <w:t>”</w:t>
      </w:r>
      <w:r w:rsidRPr="00A5537A">
        <w:t xml:space="preserve"> (</w:t>
      </w:r>
      <w:r w:rsidRPr="00A5537A">
        <w:rPr>
          <w:lang w:val="en-GB"/>
        </w:rPr>
        <w:t xml:space="preserve">see </w:t>
      </w:r>
      <w:proofErr w:type="spellStart"/>
      <w:r w:rsidRPr="00A5537A">
        <w:rPr>
          <w:lang w:val="en-GB"/>
        </w:rPr>
        <w:t>ECtHR</w:t>
      </w:r>
      <w:proofErr w:type="spellEnd"/>
      <w:r w:rsidRPr="00A5537A">
        <w:rPr>
          <w:lang w:val="en-GB"/>
        </w:rPr>
        <w:t xml:space="preserve">, </w:t>
      </w:r>
      <w:proofErr w:type="spellStart"/>
      <w:r w:rsidRPr="00A5537A">
        <w:rPr>
          <w:i/>
          <w:iCs/>
        </w:rPr>
        <w:t>Varnava</w:t>
      </w:r>
      <w:proofErr w:type="spellEnd"/>
      <w:r w:rsidRPr="00A5537A">
        <w:rPr>
          <w:i/>
          <w:iCs/>
        </w:rPr>
        <w:t xml:space="preserve"> and Others v Turkey</w:t>
      </w:r>
      <w:r w:rsidRPr="00A5537A">
        <w:rPr>
          <w:iCs/>
        </w:rPr>
        <w:t>,</w:t>
      </w:r>
      <w:r w:rsidRPr="00A5537A">
        <w:rPr>
          <w:i/>
          <w:iCs/>
        </w:rPr>
        <w:t xml:space="preserve"> </w:t>
      </w:r>
      <w:r w:rsidRPr="00A5537A">
        <w:t>cited above</w:t>
      </w:r>
      <w:r w:rsidR="00D54387">
        <w:t xml:space="preserve"> i</w:t>
      </w:r>
      <w:r w:rsidR="00470CE7">
        <w:t xml:space="preserve">n § </w:t>
      </w:r>
      <w:r w:rsidR="00444C32">
        <w:fldChar w:fldCharType="begin"/>
      </w:r>
      <w:r w:rsidR="00444C32">
        <w:instrText xml:space="preserve"> REF _Ref346123885 \r \h </w:instrText>
      </w:r>
      <w:r w:rsidR="00444C32">
        <w:fldChar w:fldCharType="separate"/>
      </w:r>
      <w:r w:rsidR="00444C32">
        <w:t>39</w:t>
      </w:r>
      <w:r w:rsidR="00444C32">
        <w:fldChar w:fldCharType="end"/>
      </w:r>
      <w:r w:rsidR="00A16C77" w:rsidRPr="00A5537A">
        <w:t xml:space="preserve">, </w:t>
      </w:r>
      <w:r w:rsidRPr="00A5537A">
        <w:t>at § 184</w:t>
      </w:r>
      <w:r w:rsidR="007F7B95" w:rsidRPr="00A5537A">
        <w:t>;</w:t>
      </w:r>
      <w:r w:rsidR="007F7B95" w:rsidRPr="00A5537A">
        <w:rPr>
          <w:lang w:val="en-GB"/>
        </w:rPr>
        <w:t xml:space="preserve"> </w:t>
      </w:r>
      <w:r w:rsidR="009031E4" w:rsidRPr="00A5537A">
        <w:rPr>
          <w:lang w:val="en-GB"/>
        </w:rPr>
        <w:t>s</w:t>
      </w:r>
      <w:r w:rsidR="00F96434" w:rsidRPr="00A5537A">
        <w:rPr>
          <w:lang w:val="en-GB"/>
        </w:rPr>
        <w:t>ee</w:t>
      </w:r>
      <w:r w:rsidR="007F7B95" w:rsidRPr="00A5537A">
        <w:rPr>
          <w:lang w:val="en-GB"/>
        </w:rPr>
        <w:t xml:space="preserve"> also</w:t>
      </w:r>
      <w:r w:rsidR="00F96434" w:rsidRPr="00A5537A">
        <w:t xml:space="preserve">, </w:t>
      </w:r>
      <w:r w:rsidR="0019447A" w:rsidRPr="00A5537A">
        <w:t>HRC</w:t>
      </w:r>
      <w:r w:rsidR="00F96434" w:rsidRPr="00A5537A">
        <w:t>,</w:t>
      </w:r>
      <w:r w:rsidR="00F96434" w:rsidRPr="00A5537A">
        <w:rPr>
          <w:i/>
        </w:rPr>
        <w:t xml:space="preserve"> </w:t>
      </w:r>
      <w:proofErr w:type="spellStart"/>
      <w:r w:rsidR="00F96434" w:rsidRPr="00A5537A">
        <w:rPr>
          <w:i/>
        </w:rPr>
        <w:t>Benaniza</w:t>
      </w:r>
      <w:proofErr w:type="spellEnd"/>
      <w:r w:rsidR="00F96434" w:rsidRPr="00A5537A">
        <w:rPr>
          <w:i/>
        </w:rPr>
        <w:t xml:space="preserve"> </w:t>
      </w:r>
      <w:r w:rsidR="00A40976" w:rsidRPr="00A5537A">
        <w:rPr>
          <w:i/>
        </w:rPr>
        <w:t>v</w:t>
      </w:r>
      <w:r w:rsidR="00F96434" w:rsidRPr="00A5537A">
        <w:rPr>
          <w:i/>
        </w:rPr>
        <w:t xml:space="preserve"> </w:t>
      </w:r>
      <w:r w:rsidR="00F96434" w:rsidRPr="00A5537A">
        <w:rPr>
          <w:i/>
          <w:lang w:val="en-GB"/>
        </w:rPr>
        <w:t>Algeria</w:t>
      </w:r>
      <w:r w:rsidR="008B4BDA" w:rsidRPr="00A5537A">
        <w:rPr>
          <w:i/>
          <w:lang w:val="en-GB"/>
        </w:rPr>
        <w:t>,</w:t>
      </w:r>
      <w:r w:rsidR="008B4BDA" w:rsidRPr="00A5537A">
        <w:rPr>
          <w:lang w:val="en-GB"/>
        </w:rPr>
        <w:t xml:space="preserve"> </w:t>
      </w:r>
      <w:r w:rsidR="00544F56" w:rsidRPr="00A5537A">
        <w:rPr>
          <w:lang w:val="en-GB"/>
        </w:rPr>
        <w:t>V</w:t>
      </w:r>
      <w:r w:rsidR="008B4BDA" w:rsidRPr="00A5537A">
        <w:rPr>
          <w:lang w:val="en-GB"/>
        </w:rPr>
        <w:t>iews</w:t>
      </w:r>
      <w:r w:rsidR="008B4BDA" w:rsidRPr="00A5537A">
        <w:t xml:space="preserve"> of 2</w:t>
      </w:r>
      <w:r w:rsidR="00F96434" w:rsidRPr="00A5537A">
        <w:t xml:space="preserve">6 </w:t>
      </w:r>
      <w:r w:rsidR="008B4BDA" w:rsidRPr="00A5537A">
        <w:t xml:space="preserve">July </w:t>
      </w:r>
      <w:r w:rsidR="00F96434" w:rsidRPr="00A5537A">
        <w:t>2010, § 9.4, CCPR/C/99/D/1588/2007</w:t>
      </w:r>
      <w:r w:rsidR="008B4BDA" w:rsidRPr="00A5537A">
        <w:t xml:space="preserve">; </w:t>
      </w:r>
      <w:r w:rsidR="00544F56" w:rsidRPr="00A5537A">
        <w:t>HRC,</w:t>
      </w:r>
      <w:r w:rsidR="00544F56" w:rsidRPr="00A5537A">
        <w:rPr>
          <w:i/>
        </w:rPr>
        <w:t xml:space="preserve"> </w:t>
      </w:r>
      <w:proofErr w:type="spellStart"/>
      <w:r w:rsidR="008B4BDA" w:rsidRPr="00A5537A">
        <w:rPr>
          <w:i/>
        </w:rPr>
        <w:t>Bashasha</w:t>
      </w:r>
      <w:proofErr w:type="spellEnd"/>
      <w:r w:rsidR="008B4BDA" w:rsidRPr="00A5537A">
        <w:rPr>
          <w:i/>
          <w:color w:val="000000"/>
        </w:rPr>
        <w:t xml:space="preserve"> v. Libyan Arab Jamahiriya</w:t>
      </w:r>
      <w:r w:rsidR="00544F56" w:rsidRPr="00A5537A">
        <w:rPr>
          <w:color w:val="000000"/>
        </w:rPr>
        <w:t>, V</w:t>
      </w:r>
      <w:r w:rsidR="008B4BDA" w:rsidRPr="00A5537A">
        <w:rPr>
          <w:color w:val="000000"/>
        </w:rPr>
        <w:t>iews of 20 October 2010, § 7.2, CCPR/C/100/D/1776/2008).</w:t>
      </w:r>
    </w:p>
    <w:p w:rsidR="003261AD" w:rsidRPr="00A5537A" w:rsidRDefault="003261AD" w:rsidP="00EC64DD">
      <w:pPr>
        <w:tabs>
          <w:tab w:val="left" w:pos="360"/>
        </w:tabs>
        <w:suppressAutoHyphens/>
        <w:autoSpaceDE w:val="0"/>
        <w:ind w:left="360" w:hanging="360"/>
        <w:jc w:val="both"/>
        <w:rPr>
          <w:lang w:val="en-GB"/>
        </w:rPr>
      </w:pPr>
    </w:p>
    <w:p w:rsidR="0022364D" w:rsidRPr="00A5537A" w:rsidRDefault="0055213A" w:rsidP="00EC64DD">
      <w:pPr>
        <w:numPr>
          <w:ilvl w:val="0"/>
          <w:numId w:val="5"/>
        </w:numPr>
        <w:tabs>
          <w:tab w:val="left" w:pos="360"/>
        </w:tabs>
        <w:suppressAutoHyphens/>
        <w:autoSpaceDE w:val="0"/>
        <w:ind w:left="360"/>
        <w:jc w:val="both"/>
        <w:rPr>
          <w:lang w:val="en-GB"/>
        </w:rPr>
      </w:pPr>
      <w:r w:rsidRPr="00A5537A">
        <w:rPr>
          <w:lang w:val="en-GB"/>
        </w:rPr>
        <w:t xml:space="preserve">The Panel understands that </w:t>
      </w:r>
      <w:r w:rsidR="00696442" w:rsidRPr="00A5537A">
        <w:rPr>
          <w:lang w:val="en-GB"/>
        </w:rPr>
        <w:t xml:space="preserve">the </w:t>
      </w:r>
      <w:r w:rsidR="0022364D" w:rsidRPr="00A5537A">
        <w:rPr>
          <w:lang w:val="en-GB"/>
        </w:rPr>
        <w:t>international</w:t>
      </w:r>
      <w:r w:rsidR="00696442" w:rsidRPr="00A5537A">
        <w:rPr>
          <w:lang w:val="en-GB"/>
        </w:rPr>
        <w:t xml:space="preserve"> jurisprudence </w:t>
      </w:r>
      <w:r w:rsidR="003C341F" w:rsidRPr="00A5537A">
        <w:rPr>
          <w:lang w:val="en-GB"/>
        </w:rPr>
        <w:t>has developed</w:t>
      </w:r>
      <w:r w:rsidR="00696442" w:rsidRPr="00A5537A">
        <w:rPr>
          <w:lang w:val="en-GB"/>
        </w:rPr>
        <w:t xml:space="preserve"> in a context </w:t>
      </w:r>
      <w:r w:rsidR="00E50312" w:rsidRPr="00A5537A">
        <w:rPr>
          <w:lang w:val="en-GB"/>
        </w:rPr>
        <w:t xml:space="preserve">where </w:t>
      </w:r>
      <w:r w:rsidR="00696442" w:rsidRPr="00A5537A">
        <w:rPr>
          <w:lang w:val="en-GB"/>
        </w:rPr>
        <w:t xml:space="preserve">the Government </w:t>
      </w:r>
      <w:r w:rsidR="00E50312" w:rsidRPr="00A5537A">
        <w:rPr>
          <w:lang w:val="en-GB"/>
        </w:rPr>
        <w:t xml:space="preserve">in question </w:t>
      </w:r>
      <w:r w:rsidR="00696442" w:rsidRPr="00A5537A">
        <w:rPr>
          <w:lang w:val="en-GB"/>
        </w:rPr>
        <w:t>may be involved</w:t>
      </w:r>
      <w:r w:rsidR="00355DCC" w:rsidRPr="00A5537A">
        <w:rPr>
          <w:lang w:val="en-GB"/>
        </w:rPr>
        <w:t xml:space="preserve"> in the substantive allegations</w:t>
      </w:r>
      <w:r w:rsidR="00696442" w:rsidRPr="00A5537A">
        <w:rPr>
          <w:lang w:val="en-GB"/>
        </w:rPr>
        <w:t>, which is not the case with UNMIK</w:t>
      </w:r>
      <w:r w:rsidRPr="00A5537A">
        <w:rPr>
          <w:lang w:val="en-GB"/>
        </w:rPr>
        <w:t>. T</w:t>
      </w:r>
      <w:r w:rsidR="00696442" w:rsidRPr="00A5537A">
        <w:rPr>
          <w:lang w:val="en-GB"/>
        </w:rPr>
        <w:t xml:space="preserve">he Panel nevertheless considers that since the documentation was under the exclusive control of UNMIK authorities, </w:t>
      </w:r>
      <w:r w:rsidRPr="00A5537A">
        <w:rPr>
          <w:lang w:val="en-GB"/>
        </w:rPr>
        <w:t xml:space="preserve">at least </w:t>
      </w:r>
      <w:r w:rsidR="00696442" w:rsidRPr="00A5537A">
        <w:rPr>
          <w:lang w:val="en-GB"/>
        </w:rPr>
        <w:t>until the handover to EULEX, the principle</w:t>
      </w:r>
      <w:r w:rsidR="00355DCC" w:rsidRPr="00A5537A">
        <w:rPr>
          <w:lang w:val="en-GB"/>
        </w:rPr>
        <w:t xml:space="preserve"> that</w:t>
      </w:r>
      <w:r w:rsidR="00696442" w:rsidRPr="00A5537A">
        <w:rPr>
          <w:lang w:val="en-GB"/>
        </w:rPr>
        <w:t xml:space="preserve"> </w:t>
      </w:r>
      <w:r w:rsidR="00C81172" w:rsidRPr="00A5537A">
        <w:rPr>
          <w:lang w:val="en-GB"/>
        </w:rPr>
        <w:t>“</w:t>
      </w:r>
      <w:r w:rsidR="0012508E" w:rsidRPr="00A5537A">
        <w:rPr>
          <w:color w:val="000000"/>
          <w:lang w:val="en-GB"/>
        </w:rPr>
        <w:t>strong</w:t>
      </w:r>
      <w:r w:rsidR="0019447A" w:rsidRPr="00A5537A">
        <w:rPr>
          <w:lang w:val="en-GB"/>
        </w:rPr>
        <w:t xml:space="preserve"> </w:t>
      </w:r>
      <w:r w:rsidR="00355DCC" w:rsidRPr="00A5537A">
        <w:rPr>
          <w:lang w:val="en-GB"/>
        </w:rPr>
        <w:t>inferences</w:t>
      </w:r>
      <w:r w:rsidR="00C81172" w:rsidRPr="00A5537A">
        <w:rPr>
          <w:lang w:val="en-GB"/>
        </w:rPr>
        <w:t>”</w:t>
      </w:r>
      <w:r w:rsidR="00355DCC" w:rsidRPr="00A5537A">
        <w:rPr>
          <w:lang w:val="en-GB"/>
        </w:rPr>
        <w:t xml:space="preserve"> may be drawn from lack of documentation</w:t>
      </w:r>
      <w:r w:rsidR="00355DCC" w:rsidRPr="00A5537A">
        <w:t xml:space="preserve"> </w:t>
      </w:r>
      <w:r w:rsidR="00696442" w:rsidRPr="00A5537A">
        <w:rPr>
          <w:lang w:val="en-GB"/>
        </w:rPr>
        <w:t>is applicable</w:t>
      </w:r>
      <w:r w:rsidR="00B029B6" w:rsidRPr="00A5537A">
        <w:rPr>
          <w:lang w:val="en-GB"/>
        </w:rPr>
        <w:t>.</w:t>
      </w:r>
    </w:p>
    <w:p w:rsidR="00696442" w:rsidRPr="00A5537A" w:rsidRDefault="00696442" w:rsidP="00EC64DD">
      <w:pPr>
        <w:tabs>
          <w:tab w:val="left" w:pos="360"/>
        </w:tabs>
        <w:suppressAutoHyphens/>
        <w:autoSpaceDE w:val="0"/>
        <w:ind w:left="360" w:hanging="360"/>
        <w:jc w:val="both"/>
        <w:rPr>
          <w:lang w:val="en-GB"/>
        </w:rPr>
      </w:pPr>
    </w:p>
    <w:p w:rsidR="0055213A" w:rsidRPr="00A5537A" w:rsidRDefault="005200EF" w:rsidP="00EC64DD">
      <w:pPr>
        <w:numPr>
          <w:ilvl w:val="0"/>
          <w:numId w:val="5"/>
        </w:numPr>
        <w:tabs>
          <w:tab w:val="left" w:pos="360"/>
        </w:tabs>
        <w:suppressAutoHyphens/>
        <w:autoSpaceDE w:val="0"/>
        <w:ind w:left="360"/>
        <w:jc w:val="both"/>
        <w:rPr>
          <w:i/>
          <w:color w:val="000000"/>
        </w:rPr>
      </w:pPr>
      <w:bookmarkStart w:id="23" w:name="_Ref348512105"/>
      <w:r w:rsidRPr="00A5537A">
        <w:rPr>
          <w:color w:val="000000"/>
        </w:rPr>
        <w:t>Second, t</w:t>
      </w:r>
      <w:r w:rsidR="0055213A" w:rsidRPr="00A5537A">
        <w:rPr>
          <w:color w:val="000000"/>
        </w:rPr>
        <w:t>he Panel notes that the positive obligation to investigate disappearances is widely accepted in international human rights law since at least the case of the Inter-American Court of Human Rights (</w:t>
      </w:r>
      <w:proofErr w:type="spellStart"/>
      <w:r w:rsidR="0055213A" w:rsidRPr="00A5537A">
        <w:rPr>
          <w:color w:val="000000"/>
        </w:rPr>
        <w:t>IACtHR</w:t>
      </w:r>
      <w:proofErr w:type="spellEnd"/>
      <w:r w:rsidR="0055213A" w:rsidRPr="00A5537A">
        <w:rPr>
          <w:color w:val="000000"/>
        </w:rPr>
        <w:t xml:space="preserve">) </w:t>
      </w:r>
      <w:proofErr w:type="spellStart"/>
      <w:r w:rsidR="0055213A" w:rsidRPr="00A5537A">
        <w:rPr>
          <w:i/>
          <w:color w:val="000000"/>
        </w:rPr>
        <w:t>Velásquez</w:t>
      </w:r>
      <w:r w:rsidR="00544F56" w:rsidRPr="00A5537A">
        <w:rPr>
          <w:i/>
          <w:color w:val="000000"/>
        </w:rPr>
        <w:t>-</w:t>
      </w:r>
      <w:r w:rsidR="0055213A" w:rsidRPr="00A5537A">
        <w:rPr>
          <w:i/>
          <w:color w:val="000000"/>
        </w:rPr>
        <w:t>Rodríguez</w:t>
      </w:r>
      <w:proofErr w:type="spellEnd"/>
      <w:r w:rsidR="0055213A" w:rsidRPr="00A5537A">
        <w:rPr>
          <w:i/>
          <w:color w:val="000000"/>
        </w:rPr>
        <w:t xml:space="preserve"> </w:t>
      </w:r>
      <w:r w:rsidR="0055213A" w:rsidRPr="00A5537A">
        <w:rPr>
          <w:color w:val="000000"/>
        </w:rPr>
        <w:t xml:space="preserve">(see </w:t>
      </w:r>
      <w:proofErr w:type="spellStart"/>
      <w:r w:rsidR="0055213A" w:rsidRPr="00A5537A">
        <w:rPr>
          <w:color w:val="000000"/>
        </w:rPr>
        <w:t>IACtHR</w:t>
      </w:r>
      <w:proofErr w:type="spellEnd"/>
      <w:r w:rsidR="0055213A" w:rsidRPr="00A5537A">
        <w:rPr>
          <w:color w:val="000000"/>
        </w:rPr>
        <w:t xml:space="preserve">, </w:t>
      </w:r>
      <w:proofErr w:type="spellStart"/>
      <w:r w:rsidR="0055213A" w:rsidRPr="00A5537A">
        <w:rPr>
          <w:i/>
          <w:color w:val="000000"/>
        </w:rPr>
        <w:t>Velásquez</w:t>
      </w:r>
      <w:r w:rsidR="00544F56" w:rsidRPr="00A5537A">
        <w:rPr>
          <w:i/>
          <w:color w:val="000000"/>
        </w:rPr>
        <w:t>-</w:t>
      </w:r>
      <w:r w:rsidR="0055213A" w:rsidRPr="00A5537A">
        <w:rPr>
          <w:i/>
          <w:color w:val="000000"/>
        </w:rPr>
        <w:t>Rodríguez</w:t>
      </w:r>
      <w:proofErr w:type="spellEnd"/>
      <w:r w:rsidR="0055213A" w:rsidRPr="00A5537A">
        <w:rPr>
          <w:i/>
          <w:color w:val="000000"/>
        </w:rPr>
        <w:t xml:space="preserve"> v. Honduras</w:t>
      </w:r>
      <w:r w:rsidR="0055213A" w:rsidRPr="00A5537A">
        <w:rPr>
          <w:color w:val="000000"/>
        </w:rPr>
        <w:t>, judgment of 29 July 1988</w:t>
      </w:r>
      <w:r w:rsidR="00544F56" w:rsidRPr="00A5537A">
        <w:rPr>
          <w:color w:val="000000"/>
        </w:rPr>
        <w:t>, Series C No. 4</w:t>
      </w:r>
      <w:r w:rsidR="0055213A" w:rsidRPr="00A5537A">
        <w:rPr>
          <w:color w:val="000000"/>
        </w:rPr>
        <w:t xml:space="preserve">). The positive obligation has also been stated by the </w:t>
      </w:r>
      <w:r w:rsidR="009031E4" w:rsidRPr="00A5537A">
        <w:rPr>
          <w:color w:val="000000"/>
        </w:rPr>
        <w:t xml:space="preserve">HRC </w:t>
      </w:r>
      <w:r w:rsidR="0055213A" w:rsidRPr="00A5537A">
        <w:rPr>
          <w:color w:val="000000"/>
        </w:rPr>
        <w:t xml:space="preserve">as stemming from Article 6 (right to life), Article 7 (prohibition of cruel and inhuman treatment) and Article 9 (right to liberty and security of person), read in conjunction with Article 2(3) (right to an </w:t>
      </w:r>
      <w:r w:rsidR="0055213A" w:rsidRPr="00A5537A">
        <w:rPr>
          <w:lang w:val="en-GB"/>
        </w:rPr>
        <w:t>effective</w:t>
      </w:r>
      <w:r w:rsidR="0055213A" w:rsidRPr="00A5537A">
        <w:rPr>
          <w:color w:val="000000"/>
        </w:rPr>
        <w:t xml:space="preserve"> remedy) of the </w:t>
      </w:r>
      <w:r w:rsidR="0022364D" w:rsidRPr="00A5537A">
        <w:rPr>
          <w:color w:val="000000"/>
        </w:rPr>
        <w:t>I</w:t>
      </w:r>
      <w:r w:rsidR="0055213A" w:rsidRPr="00A5537A">
        <w:rPr>
          <w:color w:val="000000"/>
        </w:rPr>
        <w:t>CCPR</w:t>
      </w:r>
      <w:r w:rsidR="00CD737D" w:rsidRPr="00A5537A">
        <w:rPr>
          <w:lang w:val="en-GB"/>
        </w:rPr>
        <w:t xml:space="preserve"> </w:t>
      </w:r>
      <w:r w:rsidR="0055213A" w:rsidRPr="00A5537A">
        <w:rPr>
          <w:color w:val="000000"/>
        </w:rPr>
        <w:t xml:space="preserve">(see HRC, General Comment No. 6, 30 April 1982, § 4; HRC, General Comment No. 31, 26 May 2004, §§ 8 and 18, CCPR/C/21/Rev.1/Add. 13; see also, among others, HRC, </w:t>
      </w:r>
      <w:r w:rsidR="0055213A" w:rsidRPr="00A5537A">
        <w:rPr>
          <w:i/>
          <w:color w:val="000000"/>
        </w:rPr>
        <w:t xml:space="preserve">Mohamed El </w:t>
      </w:r>
      <w:proofErr w:type="spellStart"/>
      <w:r w:rsidR="0055213A" w:rsidRPr="00A5537A">
        <w:rPr>
          <w:i/>
          <w:color w:val="000000"/>
        </w:rPr>
        <w:t>Awani</w:t>
      </w:r>
      <w:proofErr w:type="spellEnd"/>
      <w:r w:rsidR="0055213A" w:rsidRPr="00A5537A">
        <w:rPr>
          <w:i/>
          <w:color w:val="000000"/>
        </w:rPr>
        <w:t>, v. Libyan Arab Jamahiriya</w:t>
      </w:r>
      <w:r w:rsidR="0055213A" w:rsidRPr="00A5537A">
        <w:rPr>
          <w:color w:val="000000"/>
        </w:rPr>
        <w:t xml:space="preserve">, </w:t>
      </w:r>
      <w:r w:rsidR="00C81172" w:rsidRPr="00A5537A">
        <w:rPr>
          <w:color w:val="000000"/>
        </w:rPr>
        <w:t>communication no. 1295/2004, views of 11 July 2007, CCPR/C/90/D/1295/2004</w:t>
      </w:r>
      <w:r w:rsidR="0055213A" w:rsidRPr="00A5537A">
        <w:rPr>
          <w:color w:val="000000"/>
        </w:rPr>
        <w:t>).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23"/>
    </w:p>
    <w:p w:rsidR="0055213A" w:rsidRPr="00A5537A" w:rsidRDefault="0055213A" w:rsidP="00EC64DD">
      <w:pPr>
        <w:pStyle w:val="ListParagraph"/>
        <w:tabs>
          <w:tab w:val="left" w:pos="360"/>
        </w:tabs>
        <w:ind w:left="360" w:hanging="360"/>
        <w:jc w:val="both"/>
        <w:rPr>
          <w:color w:val="000000"/>
          <w:lang w:eastAsia="en-US"/>
        </w:rPr>
      </w:pPr>
    </w:p>
    <w:p w:rsidR="0055213A" w:rsidRPr="00A5537A" w:rsidRDefault="0055213A" w:rsidP="00EC64DD">
      <w:pPr>
        <w:numPr>
          <w:ilvl w:val="0"/>
          <w:numId w:val="5"/>
        </w:numPr>
        <w:tabs>
          <w:tab w:val="left" w:pos="360"/>
        </w:tabs>
        <w:suppressAutoHyphens/>
        <w:autoSpaceDE w:val="0"/>
        <w:ind w:left="360"/>
        <w:jc w:val="both"/>
        <w:rPr>
          <w:color w:val="000000"/>
        </w:rPr>
      </w:pPr>
      <w:bookmarkStart w:id="24" w:name="_Ref347561805"/>
      <w:r w:rsidRPr="00A5537A">
        <w:rPr>
          <w:color w:val="000000"/>
        </w:rPr>
        <w:t>In order to address the complainant’s allegations, the Panel refers</w:t>
      </w:r>
      <w:r w:rsidR="005200EF" w:rsidRPr="00A5537A">
        <w:rPr>
          <w:color w:val="000000"/>
        </w:rPr>
        <w:t>, in particular,</w:t>
      </w:r>
      <w:r w:rsidRPr="00A5537A">
        <w:rPr>
          <w:color w:val="000000"/>
        </w:rPr>
        <w:t xml:space="preserve"> to the well-established case law of the European Court on Human Rights on the procedural obligation under Article 2 of the ECHR. The Court has held that “[The] obligation to protect the right to life </w:t>
      </w:r>
      <w:r w:rsidRPr="00A5537A">
        <w:rPr>
          <w:lang w:val="en-GB"/>
        </w:rPr>
        <w:t>under</w:t>
      </w:r>
      <w:r w:rsidRPr="00A5537A">
        <w:rPr>
          <w:color w:val="000000"/>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A5537A">
        <w:rPr>
          <w:i/>
          <w:color w:val="000000"/>
        </w:rPr>
        <w:t>mutatis mutandis</w:t>
      </w:r>
      <w:r w:rsidRPr="00A5537A">
        <w:rPr>
          <w:color w:val="000000"/>
        </w:rPr>
        <w:t xml:space="preserve">, </w:t>
      </w:r>
      <w:proofErr w:type="spellStart"/>
      <w:r w:rsidRPr="00A5537A">
        <w:rPr>
          <w:color w:val="000000"/>
        </w:rPr>
        <w:t>ECtHR</w:t>
      </w:r>
      <w:proofErr w:type="spellEnd"/>
      <w:r w:rsidRPr="00A5537A">
        <w:rPr>
          <w:color w:val="000000"/>
        </w:rPr>
        <w:t xml:space="preserve">, </w:t>
      </w:r>
      <w:r w:rsidRPr="00A5537A">
        <w:rPr>
          <w:i/>
          <w:color w:val="000000"/>
        </w:rPr>
        <w:t>McCann and Others v. the United Kingdom</w:t>
      </w:r>
      <w:r w:rsidRPr="00A5537A">
        <w:rPr>
          <w:color w:val="000000"/>
        </w:rPr>
        <w:t xml:space="preserve">, judgment of 27 September 1995, § 161, Series A no. 324; and </w:t>
      </w:r>
      <w:proofErr w:type="spellStart"/>
      <w:r w:rsidR="00012218" w:rsidRPr="00A5537A">
        <w:rPr>
          <w:color w:val="000000"/>
        </w:rPr>
        <w:t>ECtHR</w:t>
      </w:r>
      <w:proofErr w:type="spellEnd"/>
      <w:r w:rsidR="00012218" w:rsidRPr="00A5537A">
        <w:rPr>
          <w:color w:val="000000"/>
        </w:rPr>
        <w:t xml:space="preserve">, </w:t>
      </w:r>
      <w:proofErr w:type="spellStart"/>
      <w:r w:rsidRPr="00A5537A">
        <w:rPr>
          <w:i/>
          <w:color w:val="000000"/>
        </w:rPr>
        <w:t>Kaya</w:t>
      </w:r>
      <w:proofErr w:type="spellEnd"/>
      <w:r w:rsidRPr="00A5537A">
        <w:rPr>
          <w:i/>
          <w:color w:val="000000"/>
        </w:rPr>
        <w:t xml:space="preserve"> v. Turkey</w:t>
      </w:r>
      <w:r w:rsidRPr="00A5537A">
        <w:rPr>
          <w:color w:val="000000"/>
        </w:rPr>
        <w:t xml:space="preserve">, judgment of 19 February 1998, § 105, </w:t>
      </w:r>
      <w:r w:rsidR="00D4014A" w:rsidRPr="00A5537A">
        <w:rPr>
          <w:color w:val="000000"/>
        </w:rPr>
        <w:t xml:space="preserve">Reports </w:t>
      </w:r>
      <w:r w:rsidRPr="00A5537A">
        <w:rPr>
          <w:color w:val="000000"/>
        </w:rPr>
        <w:t>1998-I</w:t>
      </w:r>
      <w:r w:rsidR="00D4014A" w:rsidRPr="00A5537A">
        <w:rPr>
          <w:color w:val="000000"/>
        </w:rPr>
        <w:t>;</w:t>
      </w:r>
      <w:r w:rsidR="0019447A" w:rsidRPr="00A5537A">
        <w:rPr>
          <w:color w:val="000000"/>
        </w:rPr>
        <w:t xml:space="preserve"> </w:t>
      </w:r>
      <w:r w:rsidRPr="00A5537A">
        <w:rPr>
          <w:color w:val="000000"/>
        </w:rPr>
        <w:t xml:space="preserve">see also </w:t>
      </w:r>
      <w:proofErr w:type="spellStart"/>
      <w:r w:rsidRPr="00A5537A">
        <w:rPr>
          <w:color w:val="000000"/>
        </w:rPr>
        <w:t>ECtHR</w:t>
      </w:r>
      <w:proofErr w:type="spellEnd"/>
      <w:r w:rsidRPr="00A5537A">
        <w:rPr>
          <w:color w:val="000000"/>
        </w:rPr>
        <w:t xml:space="preserve">, </w:t>
      </w:r>
      <w:proofErr w:type="spellStart"/>
      <w:r w:rsidRPr="00A5537A">
        <w:rPr>
          <w:i/>
          <w:color w:val="000000"/>
        </w:rPr>
        <w:t>Jasinskis</w:t>
      </w:r>
      <w:proofErr w:type="spellEnd"/>
      <w:r w:rsidRPr="00A5537A">
        <w:rPr>
          <w:i/>
          <w:color w:val="000000"/>
        </w:rPr>
        <w:t xml:space="preserve"> v. Latvia</w:t>
      </w:r>
      <w:r w:rsidRPr="00A5537A">
        <w:rPr>
          <w:color w:val="000000"/>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A5537A">
        <w:rPr>
          <w:color w:val="000000"/>
        </w:rPr>
        <w:t>ECtHR</w:t>
      </w:r>
      <w:proofErr w:type="spellEnd"/>
      <w:r w:rsidRPr="00A5537A">
        <w:rPr>
          <w:color w:val="000000"/>
        </w:rPr>
        <w:t xml:space="preserve">, </w:t>
      </w:r>
      <w:proofErr w:type="spellStart"/>
      <w:r w:rsidRPr="00A5537A">
        <w:rPr>
          <w:i/>
          <w:color w:val="000000"/>
        </w:rPr>
        <w:t>Kolevi</w:t>
      </w:r>
      <w:proofErr w:type="spellEnd"/>
      <w:r w:rsidRPr="00A5537A">
        <w:rPr>
          <w:i/>
          <w:color w:val="000000"/>
        </w:rPr>
        <w:t xml:space="preserve"> v. Bulgaria</w:t>
      </w:r>
      <w:r w:rsidRPr="00A5537A">
        <w:rPr>
          <w:color w:val="000000"/>
        </w:rPr>
        <w:t>, no. 1108/02, judgment of 5 November 2009, § 191).</w:t>
      </w:r>
      <w:bookmarkEnd w:id="24"/>
    </w:p>
    <w:p w:rsidR="00005EDC" w:rsidRPr="00A5537A" w:rsidRDefault="00005EDC" w:rsidP="00EC64DD">
      <w:pPr>
        <w:pStyle w:val="ListParagraph"/>
        <w:tabs>
          <w:tab w:val="left" w:pos="360"/>
        </w:tabs>
        <w:suppressAutoHyphens w:val="0"/>
        <w:ind w:left="360" w:hanging="360"/>
        <w:contextualSpacing/>
        <w:jc w:val="both"/>
        <w:rPr>
          <w:color w:val="000000"/>
          <w:lang w:eastAsia="en-US"/>
        </w:rPr>
      </w:pPr>
    </w:p>
    <w:p w:rsidR="0055213A" w:rsidRPr="00A5537A" w:rsidRDefault="0055213A" w:rsidP="00EC64DD">
      <w:pPr>
        <w:numPr>
          <w:ilvl w:val="0"/>
          <w:numId w:val="5"/>
        </w:numPr>
        <w:tabs>
          <w:tab w:val="left" w:pos="360"/>
        </w:tabs>
        <w:suppressAutoHyphens/>
        <w:autoSpaceDE w:val="0"/>
        <w:ind w:left="360"/>
        <w:jc w:val="both"/>
        <w:rPr>
          <w:color w:val="000000"/>
        </w:rPr>
      </w:pPr>
      <w:r w:rsidRPr="00A5537A">
        <w:rPr>
          <w:color w:val="000000"/>
        </w:rPr>
        <w:t xml:space="preserve">The European Court has also stated that the procedural obligation to provide some form of effective </w:t>
      </w:r>
      <w:r w:rsidRPr="00A5537A">
        <w:rPr>
          <w:lang w:val="en-GB"/>
        </w:rPr>
        <w:t>official</w:t>
      </w:r>
      <w:r w:rsidRPr="00A5537A">
        <w:rPr>
          <w:color w:val="000000"/>
        </w:rPr>
        <w:t xml:space="preserve"> investigation exists also when an individual has gone missing in life-threatening circumstances and is not confined to cases where it is apparent that the disappearance was caused by an agent of the State (see </w:t>
      </w:r>
      <w:proofErr w:type="spellStart"/>
      <w:r w:rsidRPr="00A5537A">
        <w:rPr>
          <w:color w:val="000000"/>
        </w:rPr>
        <w:t>ECtHR</w:t>
      </w:r>
      <w:proofErr w:type="spellEnd"/>
      <w:r w:rsidRPr="00A5537A">
        <w:rPr>
          <w:color w:val="000000"/>
        </w:rPr>
        <w:t xml:space="preserve"> </w:t>
      </w:r>
      <w:r w:rsidR="00620B0C" w:rsidRPr="00A5537A">
        <w:rPr>
          <w:color w:val="000000"/>
        </w:rPr>
        <w:t>[GC]</w:t>
      </w:r>
      <w:r w:rsidRPr="00A5537A">
        <w:rPr>
          <w:color w:val="000000"/>
        </w:rPr>
        <w:t xml:space="preserve">, </w:t>
      </w:r>
      <w:proofErr w:type="spellStart"/>
      <w:r w:rsidRPr="00A5537A">
        <w:rPr>
          <w:i/>
          <w:color w:val="000000"/>
        </w:rPr>
        <w:t>Varnava</w:t>
      </w:r>
      <w:proofErr w:type="spellEnd"/>
      <w:r w:rsidRPr="00A5537A">
        <w:rPr>
          <w:i/>
          <w:color w:val="000000"/>
        </w:rPr>
        <w:t xml:space="preserve"> and Others v. Turkey</w:t>
      </w:r>
      <w:r w:rsidRPr="00A5537A">
        <w:rPr>
          <w:color w:val="000000"/>
        </w:rPr>
        <w:t>,</w:t>
      </w:r>
      <w:r w:rsidRPr="00A5537A">
        <w:t xml:space="preserve"> </w:t>
      </w:r>
      <w:r w:rsidRPr="00A5537A">
        <w:rPr>
          <w:color w:val="000000"/>
        </w:rPr>
        <w:t xml:space="preserve">cited in § </w:t>
      </w:r>
      <w:fldSimple w:instr=" REF _Ref346123885 \r \h  \* MERGEFORMAT ">
        <w:r w:rsidR="00444C32" w:rsidRPr="00444C32">
          <w:rPr>
            <w:color w:val="000000"/>
          </w:rPr>
          <w:t>39</w:t>
        </w:r>
      </w:fldSimple>
      <w:r w:rsidR="00437834" w:rsidRPr="00A5537A">
        <w:rPr>
          <w:color w:val="000000"/>
        </w:rPr>
        <w:t xml:space="preserve"> </w:t>
      </w:r>
      <w:r w:rsidRPr="00A5537A">
        <w:rPr>
          <w:color w:val="000000"/>
        </w:rPr>
        <w:t xml:space="preserve">above, </w:t>
      </w:r>
      <w:r w:rsidR="00437834" w:rsidRPr="00A5537A">
        <w:rPr>
          <w:color w:val="000000"/>
        </w:rPr>
        <w:t xml:space="preserve">at </w:t>
      </w:r>
      <w:r w:rsidRPr="00A5537A">
        <w:rPr>
          <w:color w:val="000000"/>
        </w:rPr>
        <w:t>§ 136).</w:t>
      </w:r>
    </w:p>
    <w:p w:rsidR="0055213A" w:rsidRPr="00A5537A" w:rsidRDefault="0055213A" w:rsidP="00EC64DD">
      <w:pPr>
        <w:tabs>
          <w:tab w:val="left" w:pos="360"/>
        </w:tabs>
        <w:ind w:left="360" w:hanging="360"/>
        <w:rPr>
          <w:color w:val="000000"/>
        </w:rPr>
      </w:pPr>
    </w:p>
    <w:p w:rsidR="0055213A" w:rsidRPr="00A5537A" w:rsidRDefault="0055213A" w:rsidP="00EC64DD">
      <w:pPr>
        <w:numPr>
          <w:ilvl w:val="0"/>
          <w:numId w:val="5"/>
        </w:numPr>
        <w:tabs>
          <w:tab w:val="left" w:pos="360"/>
        </w:tabs>
        <w:suppressAutoHyphens/>
        <w:autoSpaceDE w:val="0"/>
        <w:ind w:left="360"/>
        <w:jc w:val="both"/>
        <w:rPr>
          <w:color w:val="000000"/>
        </w:rPr>
      </w:pPr>
      <w:bookmarkStart w:id="25" w:name="_Ref346723791"/>
      <w:r w:rsidRPr="00A5537A">
        <w:rPr>
          <w:color w:val="000000"/>
        </w:rPr>
        <w:t xml:space="preserve">The authorities must act of their own motion once the matter has come to their attention, and they cannot leave it to the initiative of the next-of-kin either to lodge a formal </w:t>
      </w:r>
      <w:r w:rsidRPr="00A5537A">
        <w:rPr>
          <w:lang w:val="en-GB"/>
        </w:rPr>
        <w:t>complaint</w:t>
      </w:r>
      <w:r w:rsidRPr="00A5537A">
        <w:rPr>
          <w:color w:val="000000"/>
        </w:rPr>
        <w:t xml:space="preserve"> or to take responsibility for the conduct of any investigative procedure (see </w:t>
      </w:r>
      <w:proofErr w:type="spellStart"/>
      <w:r w:rsidRPr="00A5537A">
        <w:rPr>
          <w:color w:val="000000"/>
        </w:rPr>
        <w:t>ECtHR</w:t>
      </w:r>
      <w:proofErr w:type="spellEnd"/>
      <w:r w:rsidRPr="00A5537A">
        <w:rPr>
          <w:color w:val="000000"/>
        </w:rPr>
        <w:t xml:space="preserve">, </w:t>
      </w:r>
      <w:proofErr w:type="spellStart"/>
      <w:r w:rsidRPr="00A5537A">
        <w:rPr>
          <w:i/>
          <w:color w:val="000000"/>
        </w:rPr>
        <w:t>Ahmet</w:t>
      </w:r>
      <w:proofErr w:type="spellEnd"/>
      <w:r w:rsidRPr="00A5537A">
        <w:rPr>
          <w:i/>
          <w:color w:val="000000"/>
        </w:rPr>
        <w:t xml:space="preserve"> </w:t>
      </w:r>
      <w:proofErr w:type="spellStart"/>
      <w:r w:rsidRPr="00A5537A">
        <w:rPr>
          <w:i/>
          <w:color w:val="000000"/>
        </w:rPr>
        <w:t>Özkan</w:t>
      </w:r>
      <w:proofErr w:type="spellEnd"/>
      <w:r w:rsidRPr="00A5537A">
        <w:rPr>
          <w:i/>
          <w:color w:val="000000"/>
        </w:rPr>
        <w:t xml:space="preserve"> and Others v. Turkey</w:t>
      </w:r>
      <w:r w:rsidRPr="00A5537A">
        <w:rPr>
          <w:color w:val="000000"/>
        </w:rPr>
        <w:t xml:space="preserve">, no. 21689/93, </w:t>
      </w:r>
      <w:r w:rsidR="00D4014A" w:rsidRPr="00A5537A">
        <w:rPr>
          <w:color w:val="000000"/>
        </w:rPr>
        <w:t>judgment of 6 April 2004, § 310;</w:t>
      </w:r>
      <w:r w:rsidRPr="00A5537A">
        <w:rPr>
          <w:color w:val="000000"/>
        </w:rPr>
        <w:t xml:space="preserve"> see also </w:t>
      </w:r>
      <w:proofErr w:type="spellStart"/>
      <w:r w:rsidRPr="00A5537A">
        <w:rPr>
          <w:color w:val="000000"/>
        </w:rPr>
        <w:t>ECtHR</w:t>
      </w:r>
      <w:proofErr w:type="spellEnd"/>
      <w:r w:rsidRPr="00A5537A">
        <w:rPr>
          <w:color w:val="000000"/>
        </w:rPr>
        <w:t xml:space="preserve">, </w:t>
      </w:r>
      <w:proofErr w:type="spellStart"/>
      <w:r w:rsidRPr="00A5537A">
        <w:rPr>
          <w:i/>
          <w:color w:val="000000"/>
        </w:rPr>
        <w:t>Isayeva</w:t>
      </w:r>
      <w:proofErr w:type="spellEnd"/>
      <w:r w:rsidRPr="00A5537A">
        <w:rPr>
          <w:i/>
          <w:color w:val="000000"/>
        </w:rPr>
        <w:t xml:space="preserve"> v. Russia</w:t>
      </w:r>
      <w:r w:rsidRPr="00A5537A">
        <w:rPr>
          <w:color w:val="000000"/>
        </w:rPr>
        <w:t>, no. 57950/00, judgment of 24 February 2005, § 210).</w:t>
      </w:r>
      <w:bookmarkEnd w:id="25"/>
    </w:p>
    <w:p w:rsidR="00EE4D62" w:rsidRPr="00A5537A" w:rsidRDefault="00EE4D62" w:rsidP="00EC64DD">
      <w:pPr>
        <w:tabs>
          <w:tab w:val="left" w:pos="360"/>
        </w:tabs>
        <w:suppressAutoHyphens/>
        <w:autoSpaceDE w:val="0"/>
        <w:ind w:left="360" w:hanging="360"/>
        <w:jc w:val="both"/>
      </w:pPr>
    </w:p>
    <w:p w:rsidR="0055213A" w:rsidRPr="00A5537A" w:rsidRDefault="0055213A" w:rsidP="00EC64DD">
      <w:pPr>
        <w:numPr>
          <w:ilvl w:val="0"/>
          <w:numId w:val="5"/>
        </w:numPr>
        <w:tabs>
          <w:tab w:val="left" w:pos="360"/>
        </w:tabs>
        <w:suppressAutoHyphens/>
        <w:autoSpaceDE w:val="0"/>
        <w:ind w:left="360"/>
        <w:jc w:val="both"/>
        <w:rPr>
          <w:color w:val="000000"/>
        </w:rPr>
      </w:pPr>
      <w:bookmarkStart w:id="26" w:name="_Ref346724174"/>
      <w:r w:rsidRPr="00A5537A">
        <w:rPr>
          <w:color w:val="000000"/>
        </w:rPr>
        <w:t xml:space="preserve">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w:t>
      </w:r>
      <w:proofErr w:type="spellStart"/>
      <w:r w:rsidRPr="00A5537A">
        <w:rPr>
          <w:color w:val="000000"/>
        </w:rPr>
        <w:t>ECtHR</w:t>
      </w:r>
      <w:proofErr w:type="spellEnd"/>
      <w:r w:rsidR="000F595E" w:rsidRPr="00A5537A">
        <w:rPr>
          <w:color w:val="000000"/>
        </w:rPr>
        <w:t xml:space="preserve"> [GC]</w:t>
      </w:r>
      <w:r w:rsidRPr="00A5537A">
        <w:rPr>
          <w:i/>
          <w:color w:val="000000"/>
        </w:rPr>
        <w:t xml:space="preserve">, </w:t>
      </w:r>
      <w:proofErr w:type="spellStart"/>
      <w:r w:rsidRPr="00A5537A">
        <w:rPr>
          <w:i/>
          <w:color w:val="000000"/>
        </w:rPr>
        <w:t>Varnava</w:t>
      </w:r>
      <w:proofErr w:type="spellEnd"/>
      <w:r w:rsidRPr="00A5537A">
        <w:rPr>
          <w:i/>
          <w:color w:val="000000"/>
        </w:rPr>
        <w:t xml:space="preserve"> and Others v. Turkey</w:t>
      </w:r>
      <w:r w:rsidRPr="00A5537A">
        <w:rPr>
          <w:color w:val="000000"/>
        </w:rPr>
        <w:t xml:space="preserve">, cited </w:t>
      </w:r>
      <w:r w:rsidR="00437834" w:rsidRPr="00A5537A">
        <w:rPr>
          <w:color w:val="000000"/>
        </w:rPr>
        <w:t xml:space="preserve">in </w:t>
      </w:r>
      <w:r w:rsidR="00437834" w:rsidRPr="00444C32">
        <w:rPr>
          <w:color w:val="000000"/>
        </w:rPr>
        <w:t>§</w:t>
      </w:r>
      <w:r w:rsidR="00A9486B" w:rsidRPr="00444C32">
        <w:rPr>
          <w:color w:val="000000"/>
        </w:rPr>
        <w:t xml:space="preserve"> </w:t>
      </w:r>
      <w:fldSimple w:instr=" REF _Ref346123885 \r \h  \* MERGEFORMAT ">
        <w:r w:rsidR="00444C32" w:rsidRPr="00444C32">
          <w:rPr>
            <w:color w:val="000000"/>
          </w:rPr>
          <w:t>39</w:t>
        </w:r>
      </w:fldSimple>
      <w:r w:rsidR="00A9486B">
        <w:t xml:space="preserve"> </w:t>
      </w:r>
      <w:r w:rsidR="00437834" w:rsidRPr="00A5537A">
        <w:rPr>
          <w:color w:val="000000"/>
        </w:rPr>
        <w:t xml:space="preserve">above, at </w:t>
      </w:r>
      <w:r w:rsidRPr="00A5537A">
        <w:rPr>
          <w:color w:val="000000"/>
        </w:rPr>
        <w:t xml:space="preserve">§ 191; see also </w:t>
      </w:r>
      <w:proofErr w:type="spellStart"/>
      <w:r w:rsidRPr="00A5537A">
        <w:rPr>
          <w:color w:val="000000"/>
        </w:rPr>
        <w:t>ECtHR</w:t>
      </w:r>
      <w:proofErr w:type="spellEnd"/>
      <w:r w:rsidRPr="00A5537A">
        <w:rPr>
          <w:color w:val="000000"/>
        </w:rPr>
        <w:t xml:space="preserve">, </w:t>
      </w:r>
      <w:proofErr w:type="spellStart"/>
      <w:r w:rsidRPr="00A5537A">
        <w:rPr>
          <w:i/>
          <w:color w:val="000000"/>
        </w:rPr>
        <w:t>Palić</w:t>
      </w:r>
      <w:proofErr w:type="spellEnd"/>
      <w:r w:rsidRPr="00A5537A">
        <w:rPr>
          <w:i/>
          <w:color w:val="000000"/>
        </w:rPr>
        <w:t xml:space="preserve"> v. Bosnia and Herzegovina</w:t>
      </w:r>
      <w:r w:rsidRPr="00A5537A">
        <w:rPr>
          <w:color w:val="000000"/>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w:t>
      </w:r>
      <w:r w:rsidRPr="00444C32">
        <w:rPr>
          <w:color w:val="000000"/>
        </w:rPr>
        <w:t xml:space="preserve">foul of this standard (see </w:t>
      </w:r>
      <w:proofErr w:type="spellStart"/>
      <w:r w:rsidRPr="00444C32">
        <w:rPr>
          <w:color w:val="000000"/>
        </w:rPr>
        <w:t>ECtHR</w:t>
      </w:r>
      <w:proofErr w:type="spellEnd"/>
      <w:r w:rsidRPr="00444C32">
        <w:rPr>
          <w:color w:val="000000"/>
        </w:rPr>
        <w:t xml:space="preserve">, </w:t>
      </w:r>
      <w:proofErr w:type="spellStart"/>
      <w:r w:rsidRPr="00444C32">
        <w:rPr>
          <w:i/>
          <w:color w:val="000000"/>
        </w:rPr>
        <w:t>Ahmet</w:t>
      </w:r>
      <w:proofErr w:type="spellEnd"/>
      <w:r w:rsidRPr="00444C32">
        <w:rPr>
          <w:i/>
          <w:color w:val="000000"/>
        </w:rPr>
        <w:t xml:space="preserve"> </w:t>
      </w:r>
      <w:proofErr w:type="spellStart"/>
      <w:r w:rsidRPr="00444C32">
        <w:rPr>
          <w:i/>
          <w:color w:val="000000"/>
        </w:rPr>
        <w:t>Özkan</w:t>
      </w:r>
      <w:proofErr w:type="spellEnd"/>
      <w:r w:rsidRPr="00444C32">
        <w:rPr>
          <w:i/>
          <w:color w:val="000000"/>
        </w:rPr>
        <w:t xml:space="preserve"> and Others v. Turkey</w:t>
      </w:r>
      <w:r w:rsidRPr="00444C32">
        <w:rPr>
          <w:color w:val="000000"/>
        </w:rPr>
        <w:t xml:space="preserve">, cited </w:t>
      </w:r>
      <w:r w:rsidR="00C81172" w:rsidRPr="00444C32">
        <w:rPr>
          <w:color w:val="000000"/>
        </w:rPr>
        <w:t xml:space="preserve">in § </w:t>
      </w:r>
      <w:r w:rsidR="00444C32">
        <w:rPr>
          <w:color w:val="000000"/>
        </w:rPr>
        <w:fldChar w:fldCharType="begin"/>
      </w:r>
      <w:r w:rsidR="00444C32">
        <w:rPr>
          <w:color w:val="000000"/>
        </w:rPr>
        <w:instrText xml:space="preserve"> REF _Ref346723791 \r \h </w:instrText>
      </w:r>
      <w:r w:rsidR="00444C32">
        <w:rPr>
          <w:color w:val="000000"/>
        </w:rPr>
      </w:r>
      <w:r w:rsidR="00444C32">
        <w:rPr>
          <w:color w:val="000000"/>
        </w:rPr>
        <w:fldChar w:fldCharType="separate"/>
      </w:r>
      <w:r w:rsidR="00444C32">
        <w:rPr>
          <w:color w:val="000000"/>
        </w:rPr>
        <w:t>63</w:t>
      </w:r>
      <w:r w:rsidR="00444C32">
        <w:rPr>
          <w:color w:val="000000"/>
        </w:rPr>
        <w:fldChar w:fldCharType="end"/>
      </w:r>
      <w:r w:rsidR="00C81172" w:rsidRPr="00A5537A">
        <w:rPr>
          <w:color w:val="000000"/>
        </w:rPr>
        <w:t xml:space="preserve"> </w:t>
      </w:r>
      <w:r w:rsidRPr="00A5537A">
        <w:rPr>
          <w:color w:val="000000"/>
        </w:rPr>
        <w:t xml:space="preserve">above, </w:t>
      </w:r>
      <w:r w:rsidR="0075125C" w:rsidRPr="00A5537A">
        <w:rPr>
          <w:color w:val="000000"/>
        </w:rPr>
        <w:t xml:space="preserve">at </w:t>
      </w:r>
      <w:r w:rsidRPr="00A5537A">
        <w:rPr>
          <w:color w:val="000000"/>
        </w:rPr>
        <w:t>§ 312</w:t>
      </w:r>
      <w:r w:rsidR="0075125C" w:rsidRPr="00A5537A">
        <w:rPr>
          <w:color w:val="000000"/>
        </w:rPr>
        <w:t>;</w:t>
      </w:r>
      <w:r w:rsidRPr="00A5537A">
        <w:rPr>
          <w:color w:val="000000"/>
        </w:rPr>
        <w:t xml:space="preserve"> and</w:t>
      </w:r>
      <w:r w:rsidRPr="00A5537A">
        <w:rPr>
          <w:i/>
          <w:color w:val="000000"/>
        </w:rPr>
        <w:t xml:space="preserve"> </w:t>
      </w:r>
      <w:proofErr w:type="spellStart"/>
      <w:r w:rsidRPr="00A5537A">
        <w:rPr>
          <w:i/>
          <w:color w:val="000000"/>
        </w:rPr>
        <w:t>Isayeva</w:t>
      </w:r>
      <w:proofErr w:type="spellEnd"/>
      <w:r w:rsidRPr="00A5537A">
        <w:rPr>
          <w:i/>
          <w:color w:val="000000"/>
        </w:rPr>
        <w:t xml:space="preserve"> v. Russia</w:t>
      </w:r>
      <w:r w:rsidRPr="00A5537A">
        <w:rPr>
          <w:color w:val="000000"/>
        </w:rPr>
        <w:t xml:space="preserve">, cited </w:t>
      </w:r>
      <w:r w:rsidR="00C81172" w:rsidRPr="00A5537A">
        <w:rPr>
          <w:color w:val="000000"/>
        </w:rPr>
        <w:t xml:space="preserve">in </w:t>
      </w:r>
      <w:r w:rsidR="00C81172" w:rsidRPr="005E71F8">
        <w:rPr>
          <w:color w:val="000000"/>
        </w:rPr>
        <w:t xml:space="preserve">§ </w:t>
      </w:r>
      <w:fldSimple w:instr=" REF _Ref346723791 \r \h  \* MERGEFORMAT ">
        <w:r w:rsidR="005E71F8" w:rsidRPr="005E71F8">
          <w:rPr>
            <w:color w:val="000000"/>
          </w:rPr>
          <w:t>63</w:t>
        </w:r>
      </w:fldSimple>
      <w:r w:rsidR="00C81172" w:rsidRPr="00A5537A">
        <w:rPr>
          <w:color w:val="000000"/>
        </w:rPr>
        <w:t xml:space="preserve"> </w:t>
      </w:r>
      <w:r w:rsidRPr="00A5537A">
        <w:rPr>
          <w:color w:val="000000"/>
        </w:rPr>
        <w:t>above, at § 212).</w:t>
      </w:r>
      <w:bookmarkEnd w:id="26"/>
    </w:p>
    <w:p w:rsidR="00EE4D62" w:rsidRPr="00A5537A" w:rsidRDefault="00EE4D62" w:rsidP="00EC64DD">
      <w:pPr>
        <w:tabs>
          <w:tab w:val="left" w:pos="360"/>
        </w:tabs>
        <w:suppressAutoHyphens/>
        <w:autoSpaceDE w:val="0"/>
        <w:ind w:left="360" w:hanging="360"/>
        <w:jc w:val="both"/>
      </w:pPr>
    </w:p>
    <w:p w:rsidR="00EE4D62" w:rsidRPr="00A5537A" w:rsidRDefault="00831AA2" w:rsidP="00EC64DD">
      <w:pPr>
        <w:numPr>
          <w:ilvl w:val="0"/>
          <w:numId w:val="5"/>
        </w:numPr>
        <w:tabs>
          <w:tab w:val="left" w:pos="360"/>
        </w:tabs>
        <w:suppressAutoHyphens/>
        <w:autoSpaceDE w:val="0"/>
        <w:ind w:left="360"/>
        <w:jc w:val="both"/>
        <w:rPr>
          <w:lang w:val="en-GB"/>
        </w:rPr>
      </w:pPr>
      <w:r w:rsidRPr="00A5537A">
        <w:rPr>
          <w:color w:val="000000"/>
        </w:rPr>
        <w:t xml:space="preserve">In particular, the </w:t>
      </w:r>
      <w:r w:rsidRPr="00A5537A">
        <w:t>investigation’s conclusion must be based on thorough, objective and impartial analysis of all relevant elements. Failing</w:t>
      </w:r>
      <w:r w:rsidRPr="00A5537A">
        <w:rPr>
          <w:color w:val="000000"/>
        </w:rPr>
        <w:t xml:space="preserve"> to follow an obvious line of enquiry undermines to a decisive extent the investigation’s ability to establish the circumstances of the case and the identity of those responsible (see </w:t>
      </w:r>
      <w:proofErr w:type="spellStart"/>
      <w:r w:rsidRPr="00A5537A">
        <w:rPr>
          <w:color w:val="000000"/>
        </w:rPr>
        <w:t>ECtHR</w:t>
      </w:r>
      <w:proofErr w:type="spellEnd"/>
      <w:r w:rsidRPr="00A5537A">
        <w:rPr>
          <w:color w:val="000000"/>
        </w:rPr>
        <w:t xml:space="preserve">, </w:t>
      </w:r>
      <w:proofErr w:type="spellStart"/>
      <w:r w:rsidRPr="00A5537A">
        <w:rPr>
          <w:i/>
          <w:color w:val="000000"/>
        </w:rPr>
        <w:t>Kolevi</w:t>
      </w:r>
      <w:proofErr w:type="spellEnd"/>
      <w:r w:rsidRPr="00A5537A">
        <w:rPr>
          <w:i/>
          <w:color w:val="000000"/>
        </w:rPr>
        <w:t xml:space="preserve"> v. Bulgaria</w:t>
      </w:r>
      <w:r w:rsidRPr="00A5537A">
        <w:rPr>
          <w:color w:val="000000"/>
        </w:rPr>
        <w:t xml:space="preserve">, cited </w:t>
      </w:r>
      <w:r w:rsidR="00D4456A" w:rsidRPr="00A5537A">
        <w:rPr>
          <w:color w:val="000000"/>
        </w:rPr>
        <w:t xml:space="preserve">in </w:t>
      </w:r>
      <w:r w:rsidR="00D4456A" w:rsidRPr="005E71F8">
        <w:rPr>
          <w:color w:val="000000"/>
        </w:rPr>
        <w:t xml:space="preserve">§ </w:t>
      </w:r>
      <w:fldSimple w:instr=" REF _Ref347561805 \r \h  \* MERGEFORMAT ">
        <w:r w:rsidR="005E71F8" w:rsidRPr="005E71F8">
          <w:rPr>
            <w:color w:val="000000"/>
          </w:rPr>
          <w:t>61</w:t>
        </w:r>
      </w:fldSimple>
      <w:r w:rsidR="00C96864" w:rsidRPr="00A5537A">
        <w:rPr>
          <w:color w:val="000000"/>
        </w:rPr>
        <w:t xml:space="preserve"> </w:t>
      </w:r>
      <w:r w:rsidR="00784294" w:rsidRPr="00A5537A">
        <w:rPr>
          <w:color w:val="000000"/>
        </w:rPr>
        <w:t>above</w:t>
      </w:r>
      <w:r w:rsidRPr="00A5537A">
        <w:rPr>
          <w:color w:val="000000"/>
        </w:rPr>
        <w:t xml:space="preserve">, </w:t>
      </w:r>
      <w:r w:rsidR="00D4456A" w:rsidRPr="00A5537A">
        <w:rPr>
          <w:color w:val="000000"/>
        </w:rPr>
        <w:t xml:space="preserve">at </w:t>
      </w:r>
      <w:r w:rsidRPr="00A5537A">
        <w:rPr>
          <w:color w:val="000000"/>
        </w:rPr>
        <w:t xml:space="preserve">§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w:t>
      </w:r>
      <w:proofErr w:type="spellStart"/>
      <w:r w:rsidRPr="00A5537A">
        <w:rPr>
          <w:color w:val="000000"/>
        </w:rPr>
        <w:t>ECtHR</w:t>
      </w:r>
      <w:proofErr w:type="spellEnd"/>
      <w:r w:rsidRPr="00A5537A">
        <w:rPr>
          <w:color w:val="000000"/>
        </w:rPr>
        <w:t xml:space="preserve">, </w:t>
      </w:r>
      <w:proofErr w:type="spellStart"/>
      <w:r w:rsidRPr="00A5537A">
        <w:rPr>
          <w:i/>
          <w:color w:val="000000"/>
        </w:rPr>
        <w:t>Velcea</w:t>
      </w:r>
      <w:proofErr w:type="spellEnd"/>
      <w:r w:rsidRPr="00A5537A">
        <w:rPr>
          <w:i/>
          <w:color w:val="000000"/>
        </w:rPr>
        <w:t xml:space="preserve"> and </w:t>
      </w:r>
      <w:proofErr w:type="spellStart"/>
      <w:r w:rsidRPr="00A5537A">
        <w:rPr>
          <w:i/>
          <w:color w:val="000000"/>
        </w:rPr>
        <w:t>Maz</w:t>
      </w:r>
      <w:r w:rsidRPr="00A5537A">
        <w:rPr>
          <w:i/>
        </w:rPr>
        <w:t>ăre</w:t>
      </w:r>
      <w:proofErr w:type="spellEnd"/>
      <w:r w:rsidRPr="00A5537A">
        <w:t xml:space="preserve"> </w:t>
      </w:r>
      <w:r w:rsidRPr="00A5537A">
        <w:rPr>
          <w:i/>
        </w:rPr>
        <w:t>v. Romania</w:t>
      </w:r>
      <w:r w:rsidRPr="00A5537A">
        <w:t xml:space="preserve">, no. 64301/01, judgment of 1 December 2009, § 105). </w:t>
      </w:r>
    </w:p>
    <w:p w:rsidR="00EE4D62" w:rsidRPr="00A5537A" w:rsidRDefault="00EE4D62" w:rsidP="00EC64DD">
      <w:pPr>
        <w:pStyle w:val="ListParagraph"/>
        <w:tabs>
          <w:tab w:val="left" w:pos="360"/>
        </w:tabs>
        <w:ind w:left="360" w:hanging="360"/>
      </w:pPr>
    </w:p>
    <w:p w:rsidR="00EE4D62" w:rsidRPr="00A5537A" w:rsidRDefault="00831AA2" w:rsidP="00620B0C">
      <w:pPr>
        <w:numPr>
          <w:ilvl w:val="0"/>
          <w:numId w:val="5"/>
        </w:numPr>
        <w:tabs>
          <w:tab w:val="left" w:pos="360"/>
        </w:tabs>
        <w:suppressAutoHyphens/>
        <w:autoSpaceDE w:val="0"/>
        <w:ind w:left="360"/>
        <w:jc w:val="both"/>
        <w:rPr>
          <w:lang w:val="en-GB"/>
        </w:rPr>
      </w:pPr>
      <w:bookmarkStart w:id="27" w:name="_Ref342300077"/>
      <w:r w:rsidRPr="00A5537A">
        <w:t>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A5537A">
        <w:t>ECtHR</w:t>
      </w:r>
      <w:proofErr w:type="spellEnd"/>
      <w:r w:rsidRPr="00A5537A">
        <w:t xml:space="preserve">, </w:t>
      </w:r>
      <w:proofErr w:type="spellStart"/>
      <w:r w:rsidRPr="00A5537A">
        <w:rPr>
          <w:i/>
        </w:rPr>
        <w:t>Palić</w:t>
      </w:r>
      <w:proofErr w:type="spellEnd"/>
      <w:r w:rsidRPr="00A5537A">
        <w:rPr>
          <w:i/>
        </w:rPr>
        <w:t xml:space="preserve"> v. Bosnia and Herzegovina</w:t>
      </w:r>
      <w:r w:rsidRPr="00A5537A">
        <w:t xml:space="preserve">, cited </w:t>
      </w:r>
      <w:r w:rsidR="00F96FB1" w:rsidRPr="00A5537A">
        <w:t xml:space="preserve">in </w:t>
      </w:r>
      <w:r w:rsidR="00F96FB1" w:rsidRPr="005E71F8">
        <w:t>§</w:t>
      </w:r>
      <w:r w:rsidR="00437834" w:rsidRPr="005E71F8">
        <w:t xml:space="preserve"> </w:t>
      </w:r>
      <w:fldSimple w:instr=" REF _Ref346724174 \r \h  \* MERGEFORMAT ">
        <w:r w:rsidR="005E71F8" w:rsidRPr="005E71F8">
          <w:t>64</w:t>
        </w:r>
      </w:fldSimple>
      <w:r w:rsidR="00437834" w:rsidRPr="00A5537A">
        <w:t xml:space="preserve"> </w:t>
      </w:r>
      <w:r w:rsidR="00437834" w:rsidRPr="005E71F8">
        <w:t>above</w:t>
      </w:r>
      <w:r w:rsidR="00F96FB1" w:rsidRPr="005E71F8">
        <w:t xml:space="preserve">, at </w:t>
      </w:r>
      <w:r w:rsidRPr="005E71F8">
        <w:t xml:space="preserve">§ 46; in the same sense </w:t>
      </w:r>
      <w:proofErr w:type="spellStart"/>
      <w:r w:rsidRPr="005E71F8">
        <w:t>ECtHR</w:t>
      </w:r>
      <w:proofErr w:type="spellEnd"/>
      <w:r w:rsidRPr="005E71F8">
        <w:t xml:space="preserve"> </w:t>
      </w:r>
      <w:r w:rsidR="001D143B" w:rsidRPr="005E71F8">
        <w:t>[GC]</w:t>
      </w:r>
      <w:r w:rsidR="00DD7795" w:rsidRPr="005E71F8">
        <w:t>,</w:t>
      </w:r>
      <w:r w:rsidR="001D143B" w:rsidRPr="005E71F8">
        <w:t xml:space="preserve"> </w:t>
      </w:r>
      <w:proofErr w:type="spellStart"/>
      <w:r w:rsidRPr="005E71F8">
        <w:rPr>
          <w:i/>
        </w:rPr>
        <w:t>Varnava</w:t>
      </w:r>
      <w:proofErr w:type="spellEnd"/>
      <w:r w:rsidRPr="005E71F8">
        <w:rPr>
          <w:i/>
        </w:rPr>
        <w:t xml:space="preserve"> and Others v. Turkey</w:t>
      </w:r>
      <w:r w:rsidRPr="005E71F8">
        <w:t xml:space="preserve">, </w:t>
      </w:r>
      <w:r w:rsidR="005200EF" w:rsidRPr="005E71F8">
        <w:t>cited</w:t>
      </w:r>
      <w:r w:rsidR="00437834" w:rsidRPr="005E71F8">
        <w:rPr>
          <w:color w:val="000000"/>
        </w:rPr>
        <w:t xml:space="preserve"> </w:t>
      </w:r>
      <w:r w:rsidR="00C96864" w:rsidRPr="005E71F8">
        <w:rPr>
          <w:color w:val="000000"/>
        </w:rPr>
        <w:t xml:space="preserve">in </w:t>
      </w:r>
      <w:r w:rsidR="00437834" w:rsidRPr="005E71F8">
        <w:rPr>
          <w:color w:val="000000"/>
        </w:rPr>
        <w:t xml:space="preserve">§ </w:t>
      </w:r>
      <w:fldSimple w:instr=" REF _Ref346123885 \r \h  \* MERGEFORMAT ">
        <w:r w:rsidR="005E71F8" w:rsidRPr="005E71F8">
          <w:rPr>
            <w:color w:val="000000"/>
          </w:rPr>
          <w:t>39</w:t>
        </w:r>
      </w:fldSimple>
      <w:r w:rsidR="00437834" w:rsidRPr="00A5537A">
        <w:rPr>
          <w:color w:val="000000"/>
        </w:rPr>
        <w:t xml:space="preserve"> above, at </w:t>
      </w:r>
      <w:r w:rsidRPr="00A5537A">
        <w:t>§ 148</w:t>
      </w:r>
      <w:r w:rsidR="00C96864" w:rsidRPr="00A5537A">
        <w:t xml:space="preserve">, </w:t>
      </w:r>
      <w:proofErr w:type="spellStart"/>
      <w:r w:rsidR="00C96864" w:rsidRPr="00A5537A">
        <w:rPr>
          <w:i/>
          <w:color w:val="000000"/>
        </w:rPr>
        <w:t>Aslakhanova</w:t>
      </w:r>
      <w:proofErr w:type="spellEnd"/>
      <w:r w:rsidR="00C96864" w:rsidRPr="00A5537A">
        <w:rPr>
          <w:i/>
          <w:color w:val="000000"/>
        </w:rPr>
        <w:t xml:space="preserve"> and </w:t>
      </w:r>
      <w:r w:rsidR="009404D0" w:rsidRPr="00A5537A">
        <w:rPr>
          <w:i/>
          <w:color w:val="000000"/>
        </w:rPr>
        <w:t>O</w:t>
      </w:r>
      <w:r w:rsidR="00C96864" w:rsidRPr="00A5537A">
        <w:rPr>
          <w:i/>
          <w:color w:val="000000"/>
        </w:rPr>
        <w:t>thers v. Russia</w:t>
      </w:r>
      <w:r w:rsidR="00C96864" w:rsidRPr="00A5537A">
        <w:rPr>
          <w:color w:val="000000"/>
        </w:rPr>
        <w:t>, nos. 2944/06 and others, judgment of 18 December 2012, § 12</w:t>
      </w:r>
      <w:r w:rsidR="00895F4A" w:rsidRPr="00A5537A">
        <w:rPr>
          <w:rFonts w:cs="CAGLHH+TimesNewRoman"/>
          <w:color w:val="000000"/>
          <w:lang w:val="en-GB"/>
        </w:rPr>
        <w:t>2</w:t>
      </w:r>
      <w:r w:rsidRPr="00A5537A">
        <w:t>).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Pr="00A5537A">
        <w:t>ECtHR</w:t>
      </w:r>
      <w:proofErr w:type="spellEnd"/>
      <w:r w:rsidRPr="00A5537A">
        <w:t xml:space="preserve">, </w:t>
      </w:r>
      <w:proofErr w:type="spellStart"/>
      <w:r w:rsidRPr="00A5537A">
        <w:rPr>
          <w:i/>
        </w:rPr>
        <w:t>Palić</w:t>
      </w:r>
      <w:proofErr w:type="spellEnd"/>
      <w:r w:rsidRPr="00A5537A">
        <w:rPr>
          <w:i/>
        </w:rPr>
        <w:t xml:space="preserve"> v. Bosnia and Herzegovina</w:t>
      </w:r>
      <w:r w:rsidRPr="00A5537A">
        <w:t xml:space="preserve">, cited above, at § 46; in the same sense </w:t>
      </w:r>
      <w:proofErr w:type="spellStart"/>
      <w:r w:rsidRPr="00A5537A">
        <w:t>ECtHR</w:t>
      </w:r>
      <w:proofErr w:type="spellEnd"/>
      <w:r w:rsidRPr="00A5537A">
        <w:t xml:space="preserve"> </w:t>
      </w:r>
      <w:r w:rsidR="00620B0C" w:rsidRPr="00A5537A">
        <w:t>[GC],</w:t>
      </w:r>
      <w:r w:rsidRPr="00A5537A">
        <w:t xml:space="preserve"> </w:t>
      </w:r>
      <w:proofErr w:type="spellStart"/>
      <w:r w:rsidRPr="00A5537A">
        <w:rPr>
          <w:i/>
        </w:rPr>
        <w:t>Varnava</w:t>
      </w:r>
      <w:proofErr w:type="spellEnd"/>
      <w:r w:rsidRPr="00A5537A">
        <w:rPr>
          <w:i/>
        </w:rPr>
        <w:t xml:space="preserve"> and Others v. Turkey</w:t>
      </w:r>
      <w:r w:rsidR="005200EF" w:rsidRPr="00A5537A">
        <w:t>, cited</w:t>
      </w:r>
      <w:r w:rsidR="00437834" w:rsidRPr="00A5537A">
        <w:rPr>
          <w:color w:val="000000"/>
        </w:rPr>
        <w:t xml:space="preserve"> </w:t>
      </w:r>
      <w:r w:rsidR="0075125C" w:rsidRPr="00A5537A">
        <w:rPr>
          <w:color w:val="000000"/>
        </w:rPr>
        <w:t xml:space="preserve">in </w:t>
      </w:r>
      <w:r w:rsidR="00437834" w:rsidRPr="005E71F8">
        <w:rPr>
          <w:color w:val="000000"/>
        </w:rPr>
        <w:t xml:space="preserve">§ </w:t>
      </w:r>
      <w:fldSimple w:instr=" REF _Ref346123885 \r \h  \* MERGEFORMAT ">
        <w:r w:rsidR="005E71F8" w:rsidRPr="005E71F8">
          <w:rPr>
            <w:color w:val="000000"/>
          </w:rPr>
          <w:t>39</w:t>
        </w:r>
      </w:fldSimple>
      <w:r w:rsidR="008E4BFB">
        <w:t xml:space="preserve"> </w:t>
      </w:r>
      <w:r w:rsidR="00437834" w:rsidRPr="00A5537A">
        <w:rPr>
          <w:color w:val="000000"/>
        </w:rPr>
        <w:t xml:space="preserve">above, at </w:t>
      </w:r>
      <w:r w:rsidRPr="00A5537A">
        <w:t xml:space="preserve">§ 145). While the location and the subsequent identification of the mortal remains of the victim may in themselves be significant achievements, the procedural obligation under Article 2 continues to exist (see </w:t>
      </w:r>
      <w:proofErr w:type="spellStart"/>
      <w:r w:rsidRPr="00A5537A">
        <w:t>ECtHR</w:t>
      </w:r>
      <w:proofErr w:type="spellEnd"/>
      <w:r w:rsidRPr="00A5537A">
        <w:t xml:space="preserve">, </w:t>
      </w:r>
      <w:proofErr w:type="spellStart"/>
      <w:r w:rsidRPr="00A5537A">
        <w:rPr>
          <w:i/>
        </w:rPr>
        <w:t>Palić</w:t>
      </w:r>
      <w:proofErr w:type="spellEnd"/>
      <w:r w:rsidRPr="00A5537A">
        <w:rPr>
          <w:i/>
        </w:rPr>
        <w:t xml:space="preserve"> v. Bosnia and Herzegovina</w:t>
      </w:r>
      <w:r w:rsidRPr="00A5537A">
        <w:t>, cited above, at §</w:t>
      </w:r>
      <w:r w:rsidR="008E4BFB">
        <w:t xml:space="preserve"> </w:t>
      </w:r>
      <w:r w:rsidRPr="00A5537A">
        <w:t xml:space="preserve"> </w:t>
      </w:r>
      <w:fldSimple w:instr=" REF _Ref346724174 \r \h  \* MERGEFORMAT ">
        <w:r w:rsidR="005E71F8" w:rsidRPr="005E71F8">
          <w:t>64</w:t>
        </w:r>
      </w:fldSimple>
      <w:r w:rsidRPr="005E71F8">
        <w:t>)</w:t>
      </w:r>
      <w:r w:rsidRPr="00A5537A">
        <w:t>.</w:t>
      </w:r>
      <w:bookmarkEnd w:id="27"/>
    </w:p>
    <w:p w:rsidR="00EE4D62" w:rsidRPr="00A5537A" w:rsidRDefault="00EE4D62" w:rsidP="00EC64DD">
      <w:pPr>
        <w:tabs>
          <w:tab w:val="left" w:pos="360"/>
        </w:tabs>
        <w:suppressAutoHyphens/>
        <w:autoSpaceDE w:val="0"/>
        <w:ind w:left="360" w:hanging="360"/>
        <w:jc w:val="both"/>
        <w:rPr>
          <w:lang w:val="en-GB"/>
        </w:rPr>
      </w:pPr>
    </w:p>
    <w:p w:rsidR="00831AA2" w:rsidRPr="00A5537A" w:rsidRDefault="00831AA2" w:rsidP="00EC64DD">
      <w:pPr>
        <w:numPr>
          <w:ilvl w:val="0"/>
          <w:numId w:val="5"/>
        </w:numPr>
        <w:tabs>
          <w:tab w:val="left" w:pos="360"/>
        </w:tabs>
        <w:suppressAutoHyphens/>
        <w:autoSpaceDE w:val="0"/>
        <w:ind w:left="360"/>
        <w:jc w:val="both"/>
        <w:rPr>
          <w:lang w:val="en-GB"/>
        </w:rPr>
      </w:pPr>
      <w:bookmarkStart w:id="28" w:name="_Ref347937166"/>
      <w:r w:rsidRPr="00A5537A">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0075125C" w:rsidRPr="00A5537A">
        <w:t>ECtHR</w:t>
      </w:r>
      <w:proofErr w:type="spellEnd"/>
      <w:r w:rsidR="0075125C" w:rsidRPr="00A5537A">
        <w:t xml:space="preserve">, </w:t>
      </w:r>
      <w:proofErr w:type="spellStart"/>
      <w:r w:rsidRPr="00A5537A">
        <w:rPr>
          <w:i/>
        </w:rPr>
        <w:t>Ahmet</w:t>
      </w:r>
      <w:proofErr w:type="spellEnd"/>
      <w:r w:rsidRPr="00A5537A">
        <w:rPr>
          <w:i/>
        </w:rPr>
        <w:t xml:space="preserve"> </w:t>
      </w:r>
      <w:proofErr w:type="spellStart"/>
      <w:r w:rsidRPr="00A5537A">
        <w:rPr>
          <w:i/>
        </w:rPr>
        <w:t>Özkan</w:t>
      </w:r>
      <w:proofErr w:type="spellEnd"/>
      <w:r w:rsidRPr="00A5537A">
        <w:rPr>
          <w:i/>
        </w:rPr>
        <w:t xml:space="preserve"> and Others</w:t>
      </w:r>
      <w:r w:rsidRPr="00A5537A">
        <w:t xml:space="preserve">, cited </w:t>
      </w:r>
      <w:r w:rsidR="0075125C" w:rsidRPr="00A5537A">
        <w:t xml:space="preserve">in § </w:t>
      </w:r>
      <w:r w:rsidR="005E71F8">
        <w:fldChar w:fldCharType="begin"/>
      </w:r>
      <w:r w:rsidR="005E71F8">
        <w:instrText xml:space="preserve"> REF _Ref346723791 \r \h </w:instrText>
      </w:r>
      <w:r w:rsidR="005E71F8">
        <w:fldChar w:fldCharType="separate"/>
      </w:r>
      <w:r w:rsidR="005E71F8">
        <w:t>63</w:t>
      </w:r>
      <w:r w:rsidR="005E71F8">
        <w:fldChar w:fldCharType="end"/>
      </w:r>
      <w:r w:rsidR="0075125C" w:rsidRPr="00A5537A">
        <w:t xml:space="preserve"> </w:t>
      </w:r>
      <w:r w:rsidRPr="00A5537A">
        <w:t xml:space="preserve">above, </w:t>
      </w:r>
      <w:r w:rsidR="0075125C" w:rsidRPr="00A5537A">
        <w:t xml:space="preserve">at </w:t>
      </w:r>
      <w:r w:rsidRPr="00A5537A">
        <w:t>§§ 311</w:t>
      </w:r>
      <w:r w:rsidRPr="00A5537A">
        <w:noBreakHyphen/>
        <w:t>314;</w:t>
      </w:r>
      <w:r w:rsidR="0075125C" w:rsidRPr="00A5537A">
        <w:t xml:space="preserve"> </w:t>
      </w:r>
      <w:proofErr w:type="spellStart"/>
      <w:r w:rsidR="0075125C" w:rsidRPr="00A5537A">
        <w:t>ECtHR</w:t>
      </w:r>
      <w:proofErr w:type="spellEnd"/>
      <w:r w:rsidR="0075125C" w:rsidRPr="00A5537A">
        <w:t>,</w:t>
      </w:r>
      <w:r w:rsidRPr="00A5537A">
        <w:t xml:space="preserve"> </w:t>
      </w:r>
      <w:proofErr w:type="spellStart"/>
      <w:r w:rsidRPr="00A5537A">
        <w:rPr>
          <w:i/>
        </w:rPr>
        <w:t>Isayeva</w:t>
      </w:r>
      <w:proofErr w:type="spellEnd"/>
      <w:r w:rsidRPr="00A5537A">
        <w:rPr>
          <w:i/>
        </w:rPr>
        <w:t xml:space="preserve"> v. Russia</w:t>
      </w:r>
      <w:r w:rsidRPr="00A5537A">
        <w:t xml:space="preserve">, </w:t>
      </w:r>
      <w:r w:rsidR="005200EF" w:rsidRPr="00A5537A">
        <w:t>cited</w:t>
      </w:r>
      <w:r w:rsidR="00437834" w:rsidRPr="00A5537A">
        <w:t xml:space="preserve"> </w:t>
      </w:r>
      <w:r w:rsidR="00C96864" w:rsidRPr="00A5537A">
        <w:t xml:space="preserve">in </w:t>
      </w:r>
      <w:r w:rsidR="00437834" w:rsidRPr="00A5537A">
        <w:t xml:space="preserve">§ </w:t>
      </w:r>
      <w:r w:rsidR="004E3548">
        <w:fldChar w:fldCharType="begin"/>
      </w:r>
      <w:r w:rsidR="004E3548">
        <w:instrText xml:space="preserve"> REF _Ref346723791 \r \h </w:instrText>
      </w:r>
      <w:r w:rsidR="004E3548">
        <w:fldChar w:fldCharType="separate"/>
      </w:r>
      <w:r w:rsidR="004E3548">
        <w:t>63</w:t>
      </w:r>
      <w:r w:rsidR="004E3548">
        <w:fldChar w:fldCharType="end"/>
      </w:r>
      <w:r w:rsidR="00437834" w:rsidRPr="00A5537A">
        <w:t xml:space="preserve"> </w:t>
      </w:r>
      <w:r w:rsidRPr="00A5537A">
        <w:t xml:space="preserve">above, </w:t>
      </w:r>
      <w:r w:rsidR="00437834" w:rsidRPr="00A5537A">
        <w:t xml:space="preserve">at </w:t>
      </w:r>
      <w:r w:rsidRPr="00A5537A">
        <w:t>§§ 211-214 and the cases cited therein</w:t>
      </w:r>
      <w:r w:rsidR="0075125C" w:rsidRPr="00A5537A">
        <w:t>;</w:t>
      </w:r>
      <w:r w:rsidRPr="00A5537A">
        <w:t xml:space="preserve"> </w:t>
      </w:r>
      <w:proofErr w:type="spellStart"/>
      <w:r w:rsidRPr="00A5537A">
        <w:t>ECtHR</w:t>
      </w:r>
      <w:proofErr w:type="spellEnd"/>
      <w:r w:rsidR="00451A85" w:rsidRPr="00A5537A">
        <w:t xml:space="preserve"> </w:t>
      </w:r>
      <w:r w:rsidR="0075125C" w:rsidRPr="00A5537A">
        <w:t>[</w:t>
      </w:r>
      <w:r w:rsidR="00451A85" w:rsidRPr="00A5537A">
        <w:t>GC</w:t>
      </w:r>
      <w:r w:rsidR="0075125C" w:rsidRPr="00A5537A">
        <w:t>]</w:t>
      </w:r>
      <w:r w:rsidR="00451A85" w:rsidRPr="00A5537A">
        <w:t>,</w:t>
      </w:r>
      <w:r w:rsidRPr="00A5537A">
        <w:t xml:space="preserve"> </w:t>
      </w:r>
      <w:r w:rsidRPr="00A5537A">
        <w:rPr>
          <w:i/>
        </w:rPr>
        <w:t>Al-</w:t>
      </w:r>
      <w:proofErr w:type="spellStart"/>
      <w:r w:rsidRPr="00A5537A">
        <w:rPr>
          <w:i/>
        </w:rPr>
        <w:t>Skeini</w:t>
      </w:r>
      <w:proofErr w:type="spellEnd"/>
      <w:r w:rsidRPr="00A5537A">
        <w:rPr>
          <w:i/>
        </w:rPr>
        <w:t xml:space="preserve"> and Others v. </w:t>
      </w:r>
      <w:r w:rsidR="00AD46F6" w:rsidRPr="00A5537A">
        <w:rPr>
          <w:i/>
        </w:rPr>
        <w:t xml:space="preserve">the </w:t>
      </w:r>
      <w:r w:rsidRPr="00A5537A">
        <w:rPr>
          <w:i/>
        </w:rPr>
        <w:t>United Kingdom</w:t>
      </w:r>
      <w:r w:rsidRPr="00A5537A">
        <w:t>, judgment of 7 July 2011, no. 55721/07, § 167</w:t>
      </w:r>
      <w:r w:rsidR="0075125C" w:rsidRPr="00A5537A">
        <w:t>, ECHR 2011</w:t>
      </w:r>
      <w:r w:rsidR="004C3ABE" w:rsidRPr="00A5537A">
        <w:t>)</w:t>
      </w:r>
      <w:r w:rsidRPr="00A5537A">
        <w:t>.</w:t>
      </w:r>
      <w:bookmarkEnd w:id="28"/>
    </w:p>
    <w:p w:rsidR="004D4DDE" w:rsidRPr="00A5537A" w:rsidRDefault="004D4DDE" w:rsidP="00EC64DD">
      <w:pPr>
        <w:tabs>
          <w:tab w:val="left" w:pos="360"/>
        </w:tabs>
        <w:suppressAutoHyphens/>
        <w:ind w:left="360" w:hanging="360"/>
        <w:jc w:val="both"/>
        <w:rPr>
          <w:b/>
          <w:i/>
          <w:lang w:val="en-GB"/>
        </w:rPr>
      </w:pPr>
    </w:p>
    <w:p w:rsidR="00005EDC" w:rsidRPr="00A5537A" w:rsidRDefault="00005EDC" w:rsidP="00EC64DD">
      <w:pPr>
        <w:pStyle w:val="ListParagraph"/>
        <w:numPr>
          <w:ilvl w:val="0"/>
          <w:numId w:val="35"/>
        </w:numPr>
        <w:tabs>
          <w:tab w:val="left" w:pos="360"/>
        </w:tabs>
        <w:suppressAutoHyphens w:val="0"/>
        <w:ind w:left="360"/>
        <w:contextualSpacing/>
        <w:jc w:val="both"/>
        <w:rPr>
          <w:i/>
          <w:color w:val="000000"/>
          <w:lang w:eastAsia="en-US"/>
        </w:rPr>
      </w:pPr>
      <w:r w:rsidRPr="00A5537A">
        <w:rPr>
          <w:i/>
          <w:color w:val="000000"/>
          <w:lang w:eastAsia="en-US"/>
        </w:rPr>
        <w:t>Applicability of Article 2 to the Kosovo context</w:t>
      </w:r>
    </w:p>
    <w:p w:rsidR="00005EDC" w:rsidRPr="00A5537A" w:rsidRDefault="00005EDC" w:rsidP="00EC64DD">
      <w:pPr>
        <w:tabs>
          <w:tab w:val="left" w:pos="360"/>
        </w:tabs>
        <w:suppressAutoHyphens/>
        <w:ind w:left="360" w:hanging="360"/>
        <w:jc w:val="both"/>
        <w:rPr>
          <w:b/>
          <w:i/>
          <w:lang w:val="en-GB"/>
        </w:rPr>
      </w:pPr>
    </w:p>
    <w:p w:rsidR="00005EDC" w:rsidRPr="00A5537A" w:rsidRDefault="00005EDC" w:rsidP="00EC64DD">
      <w:pPr>
        <w:pStyle w:val="ListParagraph"/>
        <w:numPr>
          <w:ilvl w:val="0"/>
          <w:numId w:val="5"/>
        </w:numPr>
        <w:tabs>
          <w:tab w:val="left" w:pos="360"/>
        </w:tabs>
        <w:suppressAutoHyphens w:val="0"/>
        <w:ind w:left="360"/>
        <w:contextualSpacing/>
        <w:jc w:val="both"/>
        <w:rPr>
          <w:color w:val="000000"/>
          <w:lang w:eastAsia="en-US"/>
        </w:rPr>
      </w:pPr>
      <w:r w:rsidRPr="00A5537A">
        <w:rPr>
          <w:color w:val="000000"/>
          <w:lang w:eastAsia="en-US"/>
        </w:rPr>
        <w:t xml:space="preserve">The Panel is conscious that the </w:t>
      </w:r>
      <w:r w:rsidR="00D54387" w:rsidRPr="004E3548">
        <w:rPr>
          <w:color w:val="000000"/>
          <w:lang w:eastAsia="en-US"/>
        </w:rPr>
        <w:t>abduction</w:t>
      </w:r>
      <w:r w:rsidRPr="004E3548">
        <w:rPr>
          <w:color w:val="000000"/>
          <w:lang w:eastAsia="en-US"/>
        </w:rPr>
        <w:t xml:space="preserve"> and </w:t>
      </w:r>
      <w:r w:rsidR="00730D08" w:rsidRPr="004E3548">
        <w:rPr>
          <w:color w:val="000000"/>
          <w:lang w:eastAsia="en-US"/>
        </w:rPr>
        <w:t>killing</w:t>
      </w:r>
      <w:r w:rsidR="00003EE4" w:rsidRPr="00570D6A">
        <w:rPr>
          <w:color w:val="000000"/>
          <w:lang w:eastAsia="en-US"/>
        </w:rPr>
        <w:t xml:space="preserve"> of</w:t>
      </w:r>
      <w:r w:rsidRPr="00570D6A">
        <w:rPr>
          <w:color w:val="000000"/>
          <w:lang w:eastAsia="en-US"/>
        </w:rPr>
        <w:t xml:space="preserve"> </w:t>
      </w:r>
      <w:proofErr w:type="spellStart"/>
      <w:r w:rsidR="0059057A" w:rsidRPr="004E3548">
        <w:rPr>
          <w:lang w:val="en-GB"/>
        </w:rPr>
        <w:t>Borislav</w:t>
      </w:r>
      <w:proofErr w:type="spellEnd"/>
      <w:r w:rsidR="0059057A" w:rsidRPr="004E3548">
        <w:rPr>
          <w:lang w:val="en-GB"/>
        </w:rPr>
        <w:t xml:space="preserve"> </w:t>
      </w:r>
      <w:proofErr w:type="spellStart"/>
      <w:r w:rsidR="0059057A" w:rsidRPr="004E3548">
        <w:rPr>
          <w:lang w:val="en-GB"/>
        </w:rPr>
        <w:t>Pavić</w:t>
      </w:r>
      <w:proofErr w:type="spellEnd"/>
      <w:r w:rsidR="0059057A" w:rsidRPr="00A5537A">
        <w:t xml:space="preserve"> </w:t>
      </w:r>
      <w:r w:rsidRPr="00A5537A">
        <w:t xml:space="preserve">occurred shortly after the deployment of UNMIK in Kosovo in the immediate aftermath of the armed conflict, when crime, violence and insecurity were rife. </w:t>
      </w:r>
    </w:p>
    <w:p w:rsidR="00005EDC" w:rsidRPr="00A5537A" w:rsidRDefault="00005EDC" w:rsidP="00EC64DD">
      <w:pPr>
        <w:pStyle w:val="ListParagraph"/>
        <w:tabs>
          <w:tab w:val="left" w:pos="360"/>
        </w:tabs>
        <w:ind w:left="360" w:hanging="360"/>
        <w:jc w:val="both"/>
        <w:rPr>
          <w:color w:val="000000"/>
          <w:lang w:eastAsia="en-US"/>
        </w:rPr>
      </w:pPr>
    </w:p>
    <w:p w:rsidR="00003EE4" w:rsidRPr="00A5537A" w:rsidRDefault="00003EE4" w:rsidP="00EC64DD">
      <w:pPr>
        <w:pStyle w:val="ListParagraph"/>
        <w:numPr>
          <w:ilvl w:val="0"/>
          <w:numId w:val="5"/>
        </w:numPr>
        <w:tabs>
          <w:tab w:val="left" w:pos="360"/>
        </w:tabs>
        <w:suppressAutoHyphens w:val="0"/>
        <w:ind w:left="360"/>
        <w:contextualSpacing/>
        <w:jc w:val="both"/>
        <w:rPr>
          <w:color w:val="000000"/>
          <w:lang w:eastAsia="en-US"/>
        </w:rPr>
      </w:pPr>
      <w:r w:rsidRPr="00A5537A">
        <w:t>On his part, the SRSG does not contest that UNMIK had a duty to investigate the present case under Article 2</w:t>
      </w:r>
      <w:r w:rsidR="006671A9" w:rsidRPr="00A5537A">
        <w:t xml:space="preserve"> of the ECHR</w:t>
      </w:r>
      <w:r w:rsidRPr="00A5537A">
        <w:t xml:space="preserve">.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005EDC" w:rsidRPr="00A5537A" w:rsidRDefault="00005EDC" w:rsidP="00EC64DD">
      <w:pPr>
        <w:pStyle w:val="ListParagraph"/>
        <w:tabs>
          <w:tab w:val="left" w:pos="360"/>
        </w:tabs>
        <w:ind w:left="360" w:hanging="360"/>
        <w:rPr>
          <w:color w:val="000000"/>
          <w:lang w:eastAsia="en-US"/>
        </w:rPr>
      </w:pPr>
    </w:p>
    <w:p w:rsidR="00003EE4" w:rsidRPr="00A5537A" w:rsidRDefault="00003EE4" w:rsidP="00EC64DD">
      <w:pPr>
        <w:pStyle w:val="ListParagraph"/>
        <w:numPr>
          <w:ilvl w:val="0"/>
          <w:numId w:val="5"/>
        </w:numPr>
        <w:tabs>
          <w:tab w:val="left" w:pos="360"/>
        </w:tabs>
        <w:suppressAutoHyphens w:val="0"/>
        <w:ind w:left="360"/>
        <w:contextualSpacing/>
        <w:jc w:val="both"/>
        <w:rPr>
          <w:color w:val="000000"/>
          <w:lang w:eastAsia="en-US"/>
        </w:rPr>
      </w:pPr>
      <w:r w:rsidRPr="00A5537A">
        <w:rPr>
          <w:color w:val="000000"/>
          <w:lang w:eastAsia="en-US"/>
        </w:rPr>
        <w:t xml:space="preserve">The Panel </w:t>
      </w:r>
      <w:r w:rsidRPr="00A5537A">
        <w:t>considers</w:t>
      </w:r>
      <w:r w:rsidRPr="00A5537A">
        <w:rPr>
          <w:color w:val="000000"/>
          <w:lang w:eastAsia="en-US"/>
        </w:rPr>
        <w:t xml:space="preserve"> that the SRSG’s arguments raise two main questions: first, whether the standards of Article 2 continue to apply in situation</w:t>
      </w:r>
      <w:r w:rsidR="008E4BFB">
        <w:rPr>
          <w:color w:val="000000"/>
          <w:lang w:eastAsia="en-US"/>
        </w:rPr>
        <w:t>s</w:t>
      </w:r>
      <w:r w:rsidRPr="00A5537A">
        <w:rPr>
          <w:color w:val="000000"/>
          <w:lang w:eastAsia="en-US"/>
        </w:rPr>
        <w:t xml:space="preserve"> of conflict or </w:t>
      </w:r>
      <w:proofErr w:type="spellStart"/>
      <w:r w:rsidRPr="00A5537A">
        <w:rPr>
          <w:color w:val="000000"/>
          <w:lang w:eastAsia="en-US"/>
        </w:rPr>
        <w:t>generalised</w:t>
      </w:r>
      <w:proofErr w:type="spellEnd"/>
      <w:r w:rsidRPr="00A5537A">
        <w:rPr>
          <w:color w:val="000000"/>
          <w:lang w:eastAsia="en-US"/>
        </w:rPr>
        <w:t xml:space="preserve"> violence and, secondly, whether such standards shall be considered fully applicable to UNMIK, in particular during the first phase of its mission.</w:t>
      </w:r>
    </w:p>
    <w:p w:rsidR="00003EE4" w:rsidRPr="00A5537A" w:rsidRDefault="00003EE4" w:rsidP="00EC64DD">
      <w:pPr>
        <w:pStyle w:val="ListParagraph"/>
        <w:tabs>
          <w:tab w:val="left" w:pos="360"/>
        </w:tabs>
        <w:ind w:left="360" w:hanging="360"/>
        <w:rPr>
          <w:color w:val="000000"/>
          <w:lang w:eastAsia="en-US"/>
        </w:rPr>
      </w:pPr>
    </w:p>
    <w:p w:rsidR="00003EE4" w:rsidRPr="0087512A" w:rsidRDefault="00003EE4" w:rsidP="00EC64DD">
      <w:pPr>
        <w:pStyle w:val="ListParagraph"/>
        <w:numPr>
          <w:ilvl w:val="0"/>
          <w:numId w:val="5"/>
        </w:numPr>
        <w:tabs>
          <w:tab w:val="left" w:pos="360"/>
        </w:tabs>
        <w:suppressAutoHyphens w:val="0"/>
        <w:ind w:left="360"/>
        <w:contextualSpacing/>
        <w:jc w:val="both"/>
        <w:rPr>
          <w:color w:val="000000"/>
          <w:lang w:eastAsia="en-US"/>
        </w:rPr>
      </w:pPr>
      <w:r w:rsidRPr="00A5537A">
        <w:rPr>
          <w:color w:val="000000"/>
          <w:lang w:eastAsia="en-US"/>
        </w:rPr>
        <w:t xml:space="preserve">As regards the applicability of Article 2 to UNMIK, the Panel recalls </w:t>
      </w:r>
      <w:r w:rsidRPr="00A5537A">
        <w:rPr>
          <w:color w:val="000000"/>
          <w:lang w:eastAsia="nl-BE"/>
        </w:rPr>
        <w:t xml:space="preserve">that with the adoption of the UNMIK Regulation No. 1999/1 on 25 July 1999 UNMIK undertook an obligation to observe internationally </w:t>
      </w:r>
      <w:proofErr w:type="spellStart"/>
      <w:r w:rsidRPr="00A5537A">
        <w:rPr>
          <w:color w:val="000000"/>
          <w:lang w:eastAsia="nl-BE"/>
        </w:rPr>
        <w:t>recognised</w:t>
      </w:r>
      <w:proofErr w:type="spellEnd"/>
      <w:r w:rsidRPr="00A5537A">
        <w:rPr>
          <w:color w:val="000000"/>
          <w:lang w:eastAsia="nl-BE"/>
        </w:rPr>
        <w:t xml:space="preserve"> human rights standards in exercising its </w:t>
      </w:r>
      <w:r w:rsidRPr="00A5537A">
        <w:t>functions</w:t>
      </w:r>
      <w:r w:rsidRPr="00A5537A">
        <w:rPr>
          <w:color w:val="000000"/>
          <w:lang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A5537A">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A5537A">
        <w:rPr>
          <w:i/>
        </w:rPr>
        <w:t>Milogorić</w:t>
      </w:r>
      <w:proofErr w:type="spellEnd"/>
      <w:r w:rsidRPr="00A5537A">
        <w:t xml:space="preserve"> </w:t>
      </w:r>
      <w:r w:rsidRPr="00A5537A">
        <w:rPr>
          <w:i/>
        </w:rPr>
        <w:t>and Others,</w:t>
      </w:r>
      <w:r w:rsidR="009A1A66" w:rsidRPr="00A5537A">
        <w:t xml:space="preserve"> nos. 38/08 and others</w:t>
      </w:r>
      <w:r w:rsidRPr="00A5537A">
        <w:t xml:space="preserve">, opinion of 24 March 2011, § 44; </w:t>
      </w:r>
      <w:proofErr w:type="spellStart"/>
      <w:r w:rsidRPr="00A5537A">
        <w:rPr>
          <w:i/>
        </w:rPr>
        <w:t>Berisha</w:t>
      </w:r>
      <w:proofErr w:type="spellEnd"/>
      <w:r w:rsidRPr="00A5537A">
        <w:rPr>
          <w:i/>
        </w:rPr>
        <w:t xml:space="preserve"> and Others,</w:t>
      </w:r>
      <w:r w:rsidRPr="00A5537A">
        <w:t xml:space="preserve"> nos. 27/08 and others, opinion of 23 February 2011,</w:t>
      </w:r>
      <w:r w:rsidRPr="00A5537A">
        <w:rPr>
          <w:i/>
        </w:rPr>
        <w:t xml:space="preserve"> </w:t>
      </w:r>
      <w:r w:rsidRPr="00A5537A">
        <w:t xml:space="preserve">§ 25; </w:t>
      </w:r>
      <w:proofErr w:type="spellStart"/>
      <w:r w:rsidRPr="00A5537A">
        <w:rPr>
          <w:i/>
        </w:rPr>
        <w:t>Lalić</w:t>
      </w:r>
      <w:proofErr w:type="spellEnd"/>
      <w:r w:rsidRPr="00A5537A">
        <w:rPr>
          <w:i/>
        </w:rPr>
        <w:t xml:space="preserve"> and Others</w:t>
      </w:r>
      <w:r w:rsidRPr="00A5537A">
        <w:t>, nos. 09/08 and others, opinion of 9 June 2012, § 22).</w:t>
      </w:r>
    </w:p>
    <w:p w:rsidR="0087512A" w:rsidRPr="00A5537A" w:rsidRDefault="0087512A" w:rsidP="0087512A">
      <w:pPr>
        <w:pStyle w:val="ListParagraph"/>
        <w:tabs>
          <w:tab w:val="left" w:pos="360"/>
        </w:tabs>
        <w:suppressAutoHyphens w:val="0"/>
        <w:ind w:left="360"/>
        <w:contextualSpacing/>
        <w:jc w:val="both"/>
        <w:rPr>
          <w:color w:val="000000"/>
          <w:lang w:eastAsia="en-US"/>
        </w:rPr>
      </w:pPr>
    </w:p>
    <w:p w:rsidR="00005EDC" w:rsidRPr="00A5537A" w:rsidRDefault="00005EDC" w:rsidP="00EC64DD">
      <w:pPr>
        <w:pStyle w:val="ListParagraph"/>
        <w:numPr>
          <w:ilvl w:val="0"/>
          <w:numId w:val="5"/>
        </w:numPr>
        <w:tabs>
          <w:tab w:val="left" w:pos="360"/>
        </w:tabs>
        <w:suppressAutoHyphens w:val="0"/>
        <w:ind w:left="360"/>
        <w:contextualSpacing/>
        <w:jc w:val="both"/>
        <w:rPr>
          <w:color w:val="000000"/>
          <w:lang w:eastAsia="en-US"/>
        </w:rPr>
      </w:pPr>
      <w:r w:rsidRPr="00A5537A">
        <w:t xml:space="preserve">Concerning the applicability of Article 2 to situations of conflict or </w:t>
      </w:r>
      <w:proofErr w:type="spellStart"/>
      <w:r w:rsidRPr="00A5537A">
        <w:t>generalised</w:t>
      </w:r>
      <w:proofErr w:type="spellEnd"/>
      <w:r w:rsidRPr="00A5537A">
        <w:t xml:space="preserve"> violence, the Panel recalls that the European Court on Human Rights has established the applicability of Article 2 to post-conflict situations, including in countries of the former </w:t>
      </w:r>
      <w:r w:rsidRPr="00A5537A">
        <w:rPr>
          <w:color w:val="000000"/>
          <w:lang w:val="en-GB" w:eastAsia="en-US"/>
        </w:rPr>
        <w:t>Yugoslavia</w:t>
      </w:r>
      <w:r w:rsidRPr="00A5537A">
        <w:t xml:space="preserve"> (see, among other examples, </w:t>
      </w:r>
      <w:proofErr w:type="spellStart"/>
      <w:r w:rsidRPr="00A5537A">
        <w:t>ECtHR</w:t>
      </w:r>
      <w:proofErr w:type="spellEnd"/>
      <w:r w:rsidRPr="00A5537A">
        <w:t xml:space="preserve">, </w:t>
      </w:r>
      <w:proofErr w:type="spellStart"/>
      <w:r w:rsidRPr="00A5537A">
        <w:rPr>
          <w:i/>
        </w:rPr>
        <w:t>Palić</w:t>
      </w:r>
      <w:proofErr w:type="spellEnd"/>
      <w:r w:rsidRPr="00A5537A">
        <w:rPr>
          <w:i/>
        </w:rPr>
        <w:t xml:space="preserve"> v. Bosnia and Herzegovina,</w:t>
      </w:r>
      <w:r w:rsidRPr="00A5537A">
        <w:t xml:space="preserve"> </w:t>
      </w:r>
      <w:r w:rsidR="00437834" w:rsidRPr="00A5537A">
        <w:t xml:space="preserve">cited in § </w:t>
      </w:r>
      <w:r w:rsidR="004E3548">
        <w:fldChar w:fldCharType="begin"/>
      </w:r>
      <w:r w:rsidR="004E3548">
        <w:instrText xml:space="preserve"> REF _Ref346724174 \r \h </w:instrText>
      </w:r>
      <w:r w:rsidR="004E3548">
        <w:fldChar w:fldCharType="separate"/>
      </w:r>
      <w:r w:rsidR="004E3548">
        <w:t>64</w:t>
      </w:r>
      <w:r w:rsidR="004E3548">
        <w:fldChar w:fldCharType="end"/>
      </w:r>
      <w:r w:rsidR="00437834" w:rsidRPr="00A5537A">
        <w:t xml:space="preserve"> above</w:t>
      </w:r>
      <w:r w:rsidRPr="00A5537A">
        <w:t xml:space="preserve">, and </w:t>
      </w:r>
      <w:proofErr w:type="spellStart"/>
      <w:r w:rsidRPr="00A5537A">
        <w:t>ECtHR</w:t>
      </w:r>
      <w:proofErr w:type="spellEnd"/>
      <w:r w:rsidRPr="00A5537A">
        <w:t xml:space="preserve">, </w:t>
      </w:r>
      <w:proofErr w:type="spellStart"/>
      <w:r w:rsidRPr="00A5537A">
        <w:rPr>
          <w:i/>
        </w:rPr>
        <w:t>Jularić</w:t>
      </w:r>
      <w:proofErr w:type="spellEnd"/>
      <w:r w:rsidRPr="00A5537A">
        <w:rPr>
          <w:i/>
        </w:rPr>
        <w:t xml:space="preserve"> v. Croatia</w:t>
      </w:r>
      <w:r w:rsidRPr="00A5537A">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A5537A">
        <w:rPr>
          <w:lang w:eastAsia="en-US"/>
        </w:rPr>
        <w:t>ECtHR</w:t>
      </w:r>
      <w:proofErr w:type="spellEnd"/>
      <w:r w:rsidRPr="00A5537A">
        <w:rPr>
          <w:lang w:eastAsia="en-US"/>
        </w:rPr>
        <w:t xml:space="preserve"> </w:t>
      </w:r>
      <w:r w:rsidR="00FF43CB" w:rsidRPr="00A5537A">
        <w:rPr>
          <w:lang w:eastAsia="en-US"/>
        </w:rPr>
        <w:t>[GC]</w:t>
      </w:r>
      <w:r w:rsidRPr="00A5537A">
        <w:rPr>
          <w:lang w:eastAsia="en-US"/>
        </w:rPr>
        <w:t xml:space="preserve">, </w:t>
      </w:r>
      <w:r w:rsidRPr="00A5537A">
        <w:rPr>
          <w:i/>
          <w:lang w:eastAsia="en-US"/>
        </w:rPr>
        <w:t>Al-</w:t>
      </w:r>
      <w:proofErr w:type="spellStart"/>
      <w:r w:rsidRPr="00A5537A">
        <w:rPr>
          <w:i/>
          <w:lang w:eastAsia="en-US"/>
        </w:rPr>
        <w:t>Skeini</w:t>
      </w:r>
      <w:proofErr w:type="spellEnd"/>
      <w:r w:rsidRPr="00A5537A">
        <w:rPr>
          <w:i/>
          <w:lang w:eastAsia="en-US"/>
        </w:rPr>
        <w:t xml:space="preserve"> and Others v. </w:t>
      </w:r>
      <w:r w:rsidR="00AD46F6" w:rsidRPr="00A5537A">
        <w:rPr>
          <w:i/>
          <w:lang w:eastAsia="en-US"/>
        </w:rPr>
        <w:t xml:space="preserve">the </w:t>
      </w:r>
      <w:r w:rsidRPr="00A5537A">
        <w:rPr>
          <w:i/>
          <w:lang w:eastAsia="en-US"/>
        </w:rPr>
        <w:t>United Kingdom</w:t>
      </w:r>
      <w:r w:rsidRPr="00A5537A">
        <w:rPr>
          <w:lang w:eastAsia="en-US"/>
        </w:rPr>
        <w:t xml:space="preserve">, cited </w:t>
      </w:r>
      <w:r w:rsidR="0075125C" w:rsidRPr="00A5537A">
        <w:rPr>
          <w:lang w:eastAsia="en-US"/>
        </w:rPr>
        <w:t xml:space="preserve">in </w:t>
      </w:r>
      <w:r w:rsidR="0075125C" w:rsidRPr="004E3548">
        <w:rPr>
          <w:lang w:eastAsia="en-US"/>
        </w:rPr>
        <w:t xml:space="preserve">§ </w:t>
      </w:r>
      <w:r w:rsidR="004E3548">
        <w:fldChar w:fldCharType="begin"/>
      </w:r>
      <w:r w:rsidR="004E3548">
        <w:rPr>
          <w:lang w:eastAsia="en-US"/>
        </w:rPr>
        <w:instrText xml:space="preserve"> REF _Ref347937166 \r \h </w:instrText>
      </w:r>
      <w:r w:rsidR="004E3548">
        <w:fldChar w:fldCharType="separate"/>
      </w:r>
      <w:r w:rsidR="004E3548">
        <w:rPr>
          <w:lang w:eastAsia="en-US"/>
        </w:rPr>
        <w:t>67</w:t>
      </w:r>
      <w:r w:rsidR="004E3548">
        <w:fldChar w:fldCharType="end"/>
      </w:r>
      <w:r w:rsidR="0075125C" w:rsidRPr="00A5537A">
        <w:rPr>
          <w:lang w:eastAsia="en-US"/>
        </w:rPr>
        <w:t xml:space="preserve"> </w:t>
      </w:r>
      <w:r w:rsidRPr="00A5537A">
        <w:rPr>
          <w:lang w:eastAsia="en-US"/>
        </w:rPr>
        <w:t>above</w:t>
      </w:r>
      <w:r w:rsidR="009A1A66" w:rsidRPr="00A5537A">
        <w:rPr>
          <w:lang w:eastAsia="en-US"/>
        </w:rPr>
        <w:t>, at</w:t>
      </w:r>
      <w:r w:rsidRPr="00A5537A">
        <w:rPr>
          <w:lang w:eastAsia="en-US"/>
        </w:rPr>
        <w:t xml:space="preserve"> § 164; see also </w:t>
      </w:r>
      <w:proofErr w:type="spellStart"/>
      <w:r w:rsidRPr="00A5537A">
        <w:rPr>
          <w:lang w:eastAsia="en-US"/>
        </w:rPr>
        <w:t>ECtHR</w:t>
      </w:r>
      <w:proofErr w:type="spellEnd"/>
      <w:r w:rsidRPr="00A5537A">
        <w:rPr>
          <w:lang w:eastAsia="en-US"/>
        </w:rPr>
        <w:t xml:space="preserve">, </w:t>
      </w:r>
      <w:proofErr w:type="spellStart"/>
      <w:r w:rsidRPr="00A5537A">
        <w:rPr>
          <w:i/>
          <w:lang w:eastAsia="en-US"/>
        </w:rPr>
        <w:t>Güleç</w:t>
      </w:r>
      <w:proofErr w:type="spellEnd"/>
      <w:r w:rsidRPr="00A5537A">
        <w:rPr>
          <w:i/>
          <w:lang w:eastAsia="en-US"/>
        </w:rPr>
        <w:t xml:space="preserve"> v. Turkey</w:t>
      </w:r>
      <w:r w:rsidRPr="00A5537A">
        <w:rPr>
          <w:lang w:eastAsia="en-US"/>
        </w:rPr>
        <w:t>, judgment of 27 July 1998, § 81,</w:t>
      </w:r>
      <w:r w:rsidRPr="00A5537A">
        <w:t xml:space="preserve"> </w:t>
      </w:r>
      <w:r w:rsidR="0075125C" w:rsidRPr="00A5537A">
        <w:t xml:space="preserve">Reports </w:t>
      </w:r>
      <w:r w:rsidRPr="00A5537A">
        <w:rPr>
          <w:lang w:eastAsia="en-US"/>
        </w:rPr>
        <w:t>1998</w:t>
      </w:r>
      <w:r w:rsidR="0075125C" w:rsidRPr="00A5537A">
        <w:rPr>
          <w:lang w:eastAsia="en-US"/>
        </w:rPr>
        <w:t>-</w:t>
      </w:r>
      <w:r w:rsidRPr="00A5537A">
        <w:rPr>
          <w:lang w:eastAsia="en-US"/>
        </w:rPr>
        <w:t xml:space="preserve">IV; </w:t>
      </w:r>
      <w:proofErr w:type="spellStart"/>
      <w:r w:rsidRPr="00A5537A">
        <w:rPr>
          <w:lang w:eastAsia="en-US"/>
        </w:rPr>
        <w:t>ECtHR</w:t>
      </w:r>
      <w:proofErr w:type="spellEnd"/>
      <w:r w:rsidRPr="00A5537A">
        <w:rPr>
          <w:lang w:eastAsia="en-US"/>
        </w:rPr>
        <w:t>,</w:t>
      </w:r>
      <w:r w:rsidRPr="00A5537A">
        <w:rPr>
          <w:i/>
          <w:lang w:eastAsia="en-US"/>
        </w:rPr>
        <w:t xml:space="preserve"> </w:t>
      </w:r>
      <w:proofErr w:type="spellStart"/>
      <w:r w:rsidRPr="00A5537A">
        <w:rPr>
          <w:i/>
          <w:lang w:eastAsia="en-US"/>
        </w:rPr>
        <w:t>Ergi</w:t>
      </w:r>
      <w:proofErr w:type="spellEnd"/>
      <w:r w:rsidRPr="00A5537A">
        <w:rPr>
          <w:i/>
          <w:lang w:eastAsia="en-US"/>
        </w:rPr>
        <w:t xml:space="preserve"> v. Turkey</w:t>
      </w:r>
      <w:r w:rsidRPr="00A5537A">
        <w:rPr>
          <w:lang w:eastAsia="en-US"/>
        </w:rPr>
        <w:t>, judgment of 28 July 1998, §§ 79 and 82</w:t>
      </w:r>
      <w:r w:rsidR="00674233" w:rsidRPr="00A5537A">
        <w:rPr>
          <w:lang w:eastAsia="en-US"/>
        </w:rPr>
        <w:t>,</w:t>
      </w:r>
      <w:r w:rsidRPr="00A5537A">
        <w:rPr>
          <w:lang w:eastAsia="en-US"/>
        </w:rPr>
        <w:t xml:space="preserve"> </w:t>
      </w:r>
      <w:r w:rsidR="0075125C" w:rsidRPr="00A5537A">
        <w:rPr>
          <w:lang w:eastAsia="en-US"/>
        </w:rPr>
        <w:t>Reports 1</w:t>
      </w:r>
      <w:r w:rsidRPr="00A5537A">
        <w:rPr>
          <w:lang w:eastAsia="en-US"/>
        </w:rPr>
        <w:t>998</w:t>
      </w:r>
      <w:r w:rsidR="0075125C" w:rsidRPr="00A5537A">
        <w:rPr>
          <w:lang w:eastAsia="en-US"/>
        </w:rPr>
        <w:t>-</w:t>
      </w:r>
      <w:r w:rsidRPr="00A5537A">
        <w:rPr>
          <w:lang w:eastAsia="en-US"/>
        </w:rPr>
        <w:t xml:space="preserve">IV; </w:t>
      </w:r>
      <w:proofErr w:type="spellStart"/>
      <w:r w:rsidRPr="00A5537A">
        <w:rPr>
          <w:lang w:eastAsia="en-US"/>
        </w:rPr>
        <w:t>ECtHR</w:t>
      </w:r>
      <w:proofErr w:type="spellEnd"/>
      <w:r w:rsidRPr="00A5537A">
        <w:rPr>
          <w:lang w:eastAsia="en-US"/>
        </w:rPr>
        <w:t>,</w:t>
      </w:r>
      <w:r w:rsidRPr="00A5537A">
        <w:rPr>
          <w:i/>
          <w:lang w:eastAsia="en-US"/>
        </w:rPr>
        <w:t xml:space="preserve"> </w:t>
      </w:r>
      <w:proofErr w:type="spellStart"/>
      <w:r w:rsidRPr="00A5537A">
        <w:rPr>
          <w:i/>
          <w:lang w:eastAsia="en-US"/>
        </w:rPr>
        <w:t>Ahmet</w:t>
      </w:r>
      <w:proofErr w:type="spellEnd"/>
      <w:r w:rsidRPr="00A5537A">
        <w:rPr>
          <w:i/>
          <w:lang w:eastAsia="en-US"/>
        </w:rPr>
        <w:t xml:space="preserve"> </w:t>
      </w:r>
      <w:proofErr w:type="spellStart"/>
      <w:r w:rsidRPr="00A5537A">
        <w:rPr>
          <w:i/>
          <w:lang w:eastAsia="en-US"/>
        </w:rPr>
        <w:t>Özkan</w:t>
      </w:r>
      <w:proofErr w:type="spellEnd"/>
      <w:r w:rsidRPr="00A5537A">
        <w:rPr>
          <w:i/>
          <w:lang w:eastAsia="en-US"/>
        </w:rPr>
        <w:t xml:space="preserve"> and Others v. Turkey</w:t>
      </w:r>
      <w:r w:rsidRPr="00A5537A">
        <w:rPr>
          <w:lang w:eastAsia="en-US"/>
        </w:rPr>
        <w:t xml:space="preserve">, </w:t>
      </w:r>
      <w:r w:rsidR="00FF43CB" w:rsidRPr="00A5537A">
        <w:t xml:space="preserve">cited in </w:t>
      </w:r>
      <w:r w:rsidR="00FF43CB" w:rsidRPr="004E3548">
        <w:t xml:space="preserve">§ </w:t>
      </w:r>
      <w:r w:rsidR="004E3548">
        <w:fldChar w:fldCharType="begin"/>
      </w:r>
      <w:r w:rsidR="004E3548">
        <w:instrText xml:space="preserve"> REF _Ref346723791 \r \h </w:instrText>
      </w:r>
      <w:r w:rsidR="004E3548">
        <w:fldChar w:fldCharType="separate"/>
      </w:r>
      <w:r w:rsidR="004E3548">
        <w:t>63</w:t>
      </w:r>
      <w:r w:rsidR="004E3548">
        <w:fldChar w:fldCharType="end"/>
      </w:r>
      <w:r w:rsidR="00FF43CB" w:rsidRPr="004E3548">
        <w:t xml:space="preserve"> above</w:t>
      </w:r>
      <w:r w:rsidR="00FF43CB" w:rsidRPr="00A5537A">
        <w:t xml:space="preserve">, at </w:t>
      </w:r>
      <w:r w:rsidRPr="00A5537A">
        <w:rPr>
          <w:lang w:eastAsia="en-US"/>
        </w:rPr>
        <w:t>§§ 85-90</w:t>
      </w:r>
      <w:r w:rsidR="0075125C" w:rsidRPr="00A5537A">
        <w:rPr>
          <w:lang w:eastAsia="en-US"/>
        </w:rPr>
        <w:t>,</w:t>
      </w:r>
      <w:r w:rsidRPr="00A5537A">
        <w:rPr>
          <w:lang w:eastAsia="en-US"/>
        </w:rPr>
        <w:t xml:space="preserve"> 309-320</w:t>
      </w:r>
      <w:r w:rsidR="0075125C" w:rsidRPr="00A5537A">
        <w:rPr>
          <w:lang w:eastAsia="en-US"/>
        </w:rPr>
        <w:t xml:space="preserve"> a</w:t>
      </w:r>
      <w:r w:rsidRPr="00A5537A">
        <w:rPr>
          <w:lang w:eastAsia="en-US"/>
        </w:rPr>
        <w:t>nd 326-330;</w:t>
      </w:r>
      <w:r w:rsidRPr="00A5537A">
        <w:rPr>
          <w:i/>
          <w:lang w:eastAsia="en-US"/>
        </w:rPr>
        <w:t xml:space="preserve"> </w:t>
      </w:r>
      <w:proofErr w:type="spellStart"/>
      <w:r w:rsidRPr="00A5537A">
        <w:rPr>
          <w:i/>
          <w:lang w:eastAsia="en-US"/>
        </w:rPr>
        <w:t>Isayeva</w:t>
      </w:r>
      <w:proofErr w:type="spellEnd"/>
      <w:r w:rsidRPr="00A5537A">
        <w:rPr>
          <w:i/>
          <w:lang w:eastAsia="en-US"/>
        </w:rPr>
        <w:t xml:space="preserve"> v. Russia</w:t>
      </w:r>
      <w:r w:rsidRPr="00A5537A">
        <w:rPr>
          <w:lang w:eastAsia="en-US"/>
        </w:rPr>
        <w:t xml:space="preserve">, </w:t>
      </w:r>
      <w:r w:rsidR="005200EF" w:rsidRPr="00A5537A">
        <w:rPr>
          <w:lang w:eastAsia="en-US"/>
        </w:rPr>
        <w:t>cited</w:t>
      </w:r>
      <w:r w:rsidR="001D7C7D" w:rsidRPr="00A5537A">
        <w:rPr>
          <w:lang w:eastAsia="en-US"/>
        </w:rPr>
        <w:t xml:space="preserve"> in</w:t>
      </w:r>
      <w:r w:rsidR="00437834" w:rsidRPr="00A5537A">
        <w:t xml:space="preserve"> § </w:t>
      </w:r>
      <w:r w:rsidR="004E3548">
        <w:fldChar w:fldCharType="begin"/>
      </w:r>
      <w:r w:rsidR="004E3548">
        <w:instrText xml:space="preserve"> REF _Ref346723791 \r \h </w:instrText>
      </w:r>
      <w:r w:rsidR="004E3548">
        <w:fldChar w:fldCharType="separate"/>
      </w:r>
      <w:r w:rsidR="004E3548">
        <w:t>63</w:t>
      </w:r>
      <w:r w:rsidR="004E3548">
        <w:fldChar w:fldCharType="end"/>
      </w:r>
      <w:r w:rsidR="00437834" w:rsidRPr="004E3548">
        <w:t xml:space="preserve"> above</w:t>
      </w:r>
      <w:r w:rsidR="00437834" w:rsidRPr="00A5537A">
        <w:t xml:space="preserve">, at </w:t>
      </w:r>
      <w:r w:rsidRPr="00A5537A">
        <w:rPr>
          <w:lang w:eastAsia="en-US"/>
        </w:rPr>
        <w:t xml:space="preserve">§§ 180 and 210; </w:t>
      </w:r>
      <w:proofErr w:type="spellStart"/>
      <w:r w:rsidRPr="00A5537A">
        <w:rPr>
          <w:lang w:eastAsia="en-US"/>
        </w:rPr>
        <w:t>ECtHR</w:t>
      </w:r>
      <w:proofErr w:type="spellEnd"/>
      <w:r w:rsidRPr="00A5537A">
        <w:rPr>
          <w:lang w:eastAsia="en-US"/>
        </w:rPr>
        <w:t xml:space="preserve">, </w:t>
      </w:r>
      <w:proofErr w:type="spellStart"/>
      <w:r w:rsidRPr="00A5537A">
        <w:rPr>
          <w:i/>
          <w:lang w:eastAsia="en-US"/>
        </w:rPr>
        <w:t>Kanlibaş</w:t>
      </w:r>
      <w:proofErr w:type="spellEnd"/>
      <w:r w:rsidRPr="00A5537A">
        <w:rPr>
          <w:i/>
          <w:lang w:eastAsia="en-US"/>
        </w:rPr>
        <w:t xml:space="preserve"> v. Turkey</w:t>
      </w:r>
      <w:r w:rsidRPr="00A5537A">
        <w:rPr>
          <w:lang w:eastAsia="en-US"/>
        </w:rPr>
        <w:t>, no. 32444/96, judgment of 8 December 2005, §§ 39-51)</w:t>
      </w:r>
      <w:r w:rsidRPr="00A5537A">
        <w:t xml:space="preserve">. </w:t>
      </w:r>
    </w:p>
    <w:p w:rsidR="00005EDC" w:rsidRPr="00A5537A" w:rsidRDefault="00005EDC" w:rsidP="00EC64DD">
      <w:pPr>
        <w:pStyle w:val="ListParagraph"/>
        <w:tabs>
          <w:tab w:val="left" w:pos="360"/>
        </w:tabs>
        <w:ind w:left="360" w:hanging="360"/>
      </w:pPr>
    </w:p>
    <w:p w:rsidR="00005EDC" w:rsidRPr="00A5537A" w:rsidRDefault="00005EDC" w:rsidP="00EC64DD">
      <w:pPr>
        <w:pStyle w:val="ListParagraph"/>
        <w:numPr>
          <w:ilvl w:val="0"/>
          <w:numId w:val="5"/>
        </w:numPr>
        <w:tabs>
          <w:tab w:val="left" w:pos="360"/>
        </w:tabs>
        <w:suppressAutoHyphens w:val="0"/>
        <w:ind w:left="360"/>
        <w:contextualSpacing/>
        <w:jc w:val="both"/>
        <w:rPr>
          <w:color w:val="000000"/>
          <w:lang w:eastAsia="en-US"/>
        </w:rPr>
      </w:pPr>
      <w:r w:rsidRPr="00A5537A">
        <w:t xml:space="preserve">The Court has acknowledged that “where the death [and disappearances] to be investigated under Article 2 occur in circumstances of </w:t>
      </w:r>
      <w:proofErr w:type="spellStart"/>
      <w:r w:rsidRPr="00A5537A">
        <w:t>generalised</w:t>
      </w:r>
      <w:proofErr w:type="spellEnd"/>
      <w:r w:rsidRPr="00A5537A">
        <w:t xml:space="preserve"> violence, armed conflict or insurgency, obstacles may be placed in the way of investigators and concrete constraints may compel the </w:t>
      </w:r>
      <w:r w:rsidRPr="00A5537A">
        <w:rPr>
          <w:lang w:eastAsia="en-US"/>
        </w:rPr>
        <w:t xml:space="preserve">use of </w:t>
      </w:r>
      <w:r w:rsidRPr="00A5537A">
        <w:t xml:space="preserve">less effective measures of investigation or may cause an investigation to be delayed” (see, </w:t>
      </w:r>
      <w:proofErr w:type="spellStart"/>
      <w:r w:rsidRPr="00A5537A">
        <w:rPr>
          <w:lang w:eastAsia="en-US"/>
        </w:rPr>
        <w:t>ECtHR</w:t>
      </w:r>
      <w:proofErr w:type="spellEnd"/>
      <w:r w:rsidR="00FF43CB" w:rsidRPr="00A5537A">
        <w:rPr>
          <w:lang w:eastAsia="en-US"/>
        </w:rPr>
        <w:t xml:space="preserve"> [GC]</w:t>
      </w:r>
      <w:r w:rsidRPr="00A5537A">
        <w:rPr>
          <w:lang w:eastAsia="en-US"/>
        </w:rPr>
        <w:t xml:space="preserve">, </w:t>
      </w:r>
      <w:r w:rsidRPr="00A5537A">
        <w:rPr>
          <w:i/>
          <w:lang w:eastAsia="en-US"/>
        </w:rPr>
        <w:t>Al-</w:t>
      </w:r>
      <w:proofErr w:type="spellStart"/>
      <w:r w:rsidRPr="00A5537A">
        <w:rPr>
          <w:i/>
          <w:lang w:eastAsia="en-US"/>
        </w:rPr>
        <w:t>Skeini</w:t>
      </w:r>
      <w:proofErr w:type="spellEnd"/>
      <w:r w:rsidRPr="00A5537A">
        <w:rPr>
          <w:i/>
          <w:lang w:eastAsia="en-US"/>
        </w:rPr>
        <w:t xml:space="preserve"> and Others v. the United Kingdom, </w:t>
      </w:r>
      <w:r w:rsidRPr="00A5537A">
        <w:rPr>
          <w:lang w:eastAsia="en-US"/>
        </w:rPr>
        <w:t>cited</w:t>
      </w:r>
      <w:r w:rsidR="00FF43CB" w:rsidRPr="00A5537A">
        <w:rPr>
          <w:lang w:eastAsia="en-US"/>
        </w:rPr>
        <w:t xml:space="preserve"> above, at</w:t>
      </w:r>
      <w:r w:rsidRPr="00A5537A">
        <w:rPr>
          <w:lang w:eastAsia="en-US"/>
        </w:rPr>
        <w:t xml:space="preserve"> §164;</w:t>
      </w:r>
      <w:r w:rsidRPr="00A5537A">
        <w:rPr>
          <w:i/>
          <w:lang w:eastAsia="en-US"/>
        </w:rPr>
        <w:t xml:space="preserve"> </w:t>
      </w:r>
      <w:proofErr w:type="spellStart"/>
      <w:r w:rsidRPr="00A5537A">
        <w:rPr>
          <w:lang w:eastAsia="en-US"/>
        </w:rPr>
        <w:t>ECtHR</w:t>
      </w:r>
      <w:proofErr w:type="spellEnd"/>
      <w:r w:rsidRPr="00A5537A">
        <w:rPr>
          <w:lang w:eastAsia="en-US"/>
        </w:rPr>
        <w:t>,</w:t>
      </w:r>
      <w:r w:rsidRPr="00A5537A">
        <w:rPr>
          <w:i/>
          <w:lang w:eastAsia="en-US"/>
        </w:rPr>
        <w:t xml:space="preserve"> </w:t>
      </w:r>
      <w:proofErr w:type="spellStart"/>
      <w:r w:rsidRPr="00A5537A">
        <w:rPr>
          <w:i/>
          <w:lang w:eastAsia="en-US"/>
        </w:rPr>
        <w:t>Bazorkina</w:t>
      </w:r>
      <w:proofErr w:type="spellEnd"/>
      <w:r w:rsidRPr="00A5537A">
        <w:rPr>
          <w:i/>
          <w:lang w:eastAsia="en-US"/>
        </w:rPr>
        <w:t xml:space="preserve"> v. Russia</w:t>
      </w:r>
      <w:r w:rsidRPr="00A5537A">
        <w:rPr>
          <w:lang w:eastAsia="en-US"/>
        </w:rPr>
        <w:t>, no. 69481/01, judgment of 27 July 2006, § 121)</w:t>
      </w:r>
      <w:r w:rsidRPr="00A5537A">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proofErr w:type="spellStart"/>
      <w:r w:rsidR="00FF43CB" w:rsidRPr="00A5537A">
        <w:t>ECtHR</w:t>
      </w:r>
      <w:proofErr w:type="spellEnd"/>
      <w:r w:rsidR="00FF43CB" w:rsidRPr="00A5537A">
        <w:t xml:space="preserve">, </w:t>
      </w:r>
      <w:proofErr w:type="spellStart"/>
      <w:r w:rsidRPr="00A5537A">
        <w:rPr>
          <w:i/>
          <w:lang w:eastAsia="en-US"/>
        </w:rPr>
        <w:t>Kaya</w:t>
      </w:r>
      <w:proofErr w:type="spellEnd"/>
      <w:r w:rsidRPr="00A5537A">
        <w:rPr>
          <w:i/>
          <w:lang w:eastAsia="en-US"/>
        </w:rPr>
        <w:t xml:space="preserve"> v. Turkey</w:t>
      </w:r>
      <w:r w:rsidRPr="00A5537A">
        <w:rPr>
          <w:lang w:eastAsia="en-US"/>
        </w:rPr>
        <w:t xml:space="preserve">, cited </w:t>
      </w:r>
      <w:r w:rsidR="005A7910" w:rsidRPr="00A5537A">
        <w:rPr>
          <w:lang w:eastAsia="en-US"/>
        </w:rPr>
        <w:t xml:space="preserve">in </w:t>
      </w:r>
      <w:r w:rsidRPr="00A5537A">
        <w:rPr>
          <w:lang w:eastAsia="en-US"/>
        </w:rPr>
        <w:t xml:space="preserve">§ </w:t>
      </w:r>
      <w:r w:rsidR="004E3548">
        <w:rPr>
          <w:lang w:eastAsia="en-US"/>
        </w:rPr>
        <w:t>61</w:t>
      </w:r>
      <w:r w:rsidR="004E3548">
        <w:t xml:space="preserve">  </w:t>
      </w:r>
      <w:r w:rsidRPr="004E3548">
        <w:rPr>
          <w:lang w:eastAsia="en-US"/>
        </w:rPr>
        <w:t>a</w:t>
      </w:r>
      <w:r w:rsidRPr="00A5537A">
        <w:rPr>
          <w:lang w:eastAsia="en-US"/>
        </w:rPr>
        <w:t xml:space="preserve">bove, </w:t>
      </w:r>
      <w:r w:rsidR="00FF43CB" w:rsidRPr="00A5537A">
        <w:rPr>
          <w:lang w:eastAsia="en-US"/>
        </w:rPr>
        <w:t xml:space="preserve">at </w:t>
      </w:r>
      <w:r w:rsidRPr="00A5537A">
        <w:rPr>
          <w:lang w:eastAsia="en-US"/>
        </w:rPr>
        <w:t>§§ 86</w:t>
      </w:r>
      <w:r w:rsidRPr="00A5537A">
        <w:rPr>
          <w:lang w:eastAsia="en-US"/>
        </w:rPr>
        <w:noBreakHyphen/>
        <w:t xml:space="preserve">92; </w:t>
      </w:r>
      <w:proofErr w:type="spellStart"/>
      <w:r w:rsidR="00FF43CB" w:rsidRPr="00A5537A">
        <w:rPr>
          <w:lang w:eastAsia="en-US"/>
        </w:rPr>
        <w:t>ECtHR</w:t>
      </w:r>
      <w:proofErr w:type="spellEnd"/>
      <w:r w:rsidR="00FF43CB" w:rsidRPr="00A5537A">
        <w:rPr>
          <w:lang w:eastAsia="en-US"/>
        </w:rPr>
        <w:t xml:space="preserve">, </w:t>
      </w:r>
      <w:proofErr w:type="spellStart"/>
      <w:r w:rsidRPr="00A5537A">
        <w:rPr>
          <w:i/>
          <w:lang w:eastAsia="en-US"/>
        </w:rPr>
        <w:t>Ergi</w:t>
      </w:r>
      <w:proofErr w:type="spellEnd"/>
      <w:r w:rsidRPr="00A5537A">
        <w:rPr>
          <w:i/>
          <w:lang w:eastAsia="en-US"/>
        </w:rPr>
        <w:t xml:space="preserve">, </w:t>
      </w:r>
      <w:r w:rsidRPr="00A5537A">
        <w:rPr>
          <w:lang w:eastAsia="en-US"/>
        </w:rPr>
        <w:t xml:space="preserve">cited </w:t>
      </w:r>
      <w:r w:rsidR="00FF43CB" w:rsidRPr="00A5537A">
        <w:rPr>
          <w:lang w:eastAsia="en-US"/>
        </w:rPr>
        <w:t>abov</w:t>
      </w:r>
      <w:r w:rsidRPr="00A5537A">
        <w:rPr>
          <w:lang w:eastAsia="en-US"/>
        </w:rPr>
        <w:t xml:space="preserve">e, </w:t>
      </w:r>
      <w:r w:rsidR="00FF43CB" w:rsidRPr="00A5537A">
        <w:rPr>
          <w:lang w:eastAsia="en-US"/>
        </w:rPr>
        <w:t xml:space="preserve">at </w:t>
      </w:r>
      <w:r w:rsidRPr="00A5537A">
        <w:rPr>
          <w:lang w:eastAsia="en-US"/>
        </w:rPr>
        <w:t xml:space="preserve">§§ 82-85; </w:t>
      </w:r>
      <w:proofErr w:type="spellStart"/>
      <w:r w:rsidR="00FF43CB" w:rsidRPr="00A5537A">
        <w:rPr>
          <w:lang w:eastAsia="en-US"/>
        </w:rPr>
        <w:t>ECtHR</w:t>
      </w:r>
      <w:proofErr w:type="spellEnd"/>
      <w:r w:rsidR="00FF43CB" w:rsidRPr="00A5537A">
        <w:rPr>
          <w:lang w:eastAsia="en-US"/>
        </w:rPr>
        <w:t xml:space="preserve"> [GC], </w:t>
      </w:r>
      <w:proofErr w:type="spellStart"/>
      <w:r w:rsidRPr="00A5537A">
        <w:rPr>
          <w:i/>
          <w:lang w:eastAsia="en-US"/>
        </w:rPr>
        <w:t>Tanrıkulu</w:t>
      </w:r>
      <w:proofErr w:type="spellEnd"/>
      <w:r w:rsidRPr="00A5537A">
        <w:rPr>
          <w:i/>
          <w:lang w:eastAsia="en-US"/>
        </w:rPr>
        <w:t xml:space="preserve"> v. Turkey</w:t>
      </w:r>
      <w:r w:rsidRPr="00A5537A">
        <w:rPr>
          <w:lang w:eastAsia="en-US"/>
        </w:rPr>
        <w:t>, no. 23763/94, judgment of 8 July 1999, §§ 101-110</w:t>
      </w:r>
      <w:r w:rsidR="00FF43CB" w:rsidRPr="00A5537A">
        <w:rPr>
          <w:lang w:eastAsia="en-US"/>
        </w:rPr>
        <w:t>, ECHR 1999-IV</w:t>
      </w:r>
      <w:r w:rsidRPr="00A5537A">
        <w:rPr>
          <w:lang w:eastAsia="en-US"/>
        </w:rPr>
        <w:t xml:space="preserve">; </w:t>
      </w:r>
      <w:proofErr w:type="spellStart"/>
      <w:r w:rsidR="00FF43CB" w:rsidRPr="00A5537A">
        <w:rPr>
          <w:lang w:eastAsia="en-US"/>
        </w:rPr>
        <w:t>ECtHR</w:t>
      </w:r>
      <w:proofErr w:type="spellEnd"/>
      <w:r w:rsidR="00FF43CB" w:rsidRPr="00A5537A">
        <w:rPr>
          <w:lang w:eastAsia="en-US"/>
        </w:rPr>
        <w:t xml:space="preserve">, </w:t>
      </w:r>
      <w:proofErr w:type="spellStart"/>
      <w:r w:rsidRPr="00A5537A">
        <w:rPr>
          <w:i/>
          <w:lang w:eastAsia="en-US"/>
        </w:rPr>
        <w:t>Khashiyev</w:t>
      </w:r>
      <w:proofErr w:type="spellEnd"/>
      <w:r w:rsidRPr="00A5537A">
        <w:rPr>
          <w:i/>
          <w:lang w:eastAsia="en-US"/>
        </w:rPr>
        <w:t xml:space="preserve"> and </w:t>
      </w:r>
      <w:proofErr w:type="spellStart"/>
      <w:r w:rsidRPr="00A5537A">
        <w:rPr>
          <w:i/>
          <w:lang w:eastAsia="en-US"/>
        </w:rPr>
        <w:t>Akayeva</w:t>
      </w:r>
      <w:proofErr w:type="spellEnd"/>
      <w:r w:rsidRPr="00A5537A">
        <w:rPr>
          <w:i/>
          <w:lang w:eastAsia="en-US"/>
        </w:rPr>
        <w:t xml:space="preserve"> v. Russia</w:t>
      </w:r>
      <w:r w:rsidRPr="00A5537A">
        <w:rPr>
          <w:lang w:eastAsia="en-US"/>
        </w:rPr>
        <w:t xml:space="preserve">, nos. 57942/00 and 57945/00, </w:t>
      </w:r>
      <w:r w:rsidRPr="004E3548">
        <w:rPr>
          <w:lang w:eastAsia="en-US"/>
        </w:rPr>
        <w:t xml:space="preserve">judgment of 24 February 2005, §§ 156-166; </w:t>
      </w:r>
      <w:proofErr w:type="spellStart"/>
      <w:r w:rsidR="00FF43CB" w:rsidRPr="004E3548">
        <w:rPr>
          <w:lang w:eastAsia="en-US"/>
        </w:rPr>
        <w:t>ECtHR</w:t>
      </w:r>
      <w:proofErr w:type="spellEnd"/>
      <w:r w:rsidR="00FF43CB" w:rsidRPr="004E3548">
        <w:rPr>
          <w:lang w:eastAsia="en-US"/>
        </w:rPr>
        <w:t xml:space="preserve">, </w:t>
      </w:r>
      <w:proofErr w:type="spellStart"/>
      <w:r w:rsidRPr="004E3548">
        <w:rPr>
          <w:i/>
          <w:lang w:eastAsia="en-US"/>
        </w:rPr>
        <w:t>Isayeva</w:t>
      </w:r>
      <w:proofErr w:type="spellEnd"/>
      <w:r w:rsidR="00FF43CB" w:rsidRPr="004E3548">
        <w:rPr>
          <w:i/>
          <w:lang w:eastAsia="en-US"/>
        </w:rPr>
        <w:t xml:space="preserve"> v. Russia</w:t>
      </w:r>
      <w:r w:rsidRPr="004E3548">
        <w:rPr>
          <w:lang w:eastAsia="en-US"/>
        </w:rPr>
        <w:t xml:space="preserve">, </w:t>
      </w:r>
      <w:r w:rsidR="005200EF" w:rsidRPr="004E3548">
        <w:t xml:space="preserve">cited </w:t>
      </w:r>
      <w:r w:rsidR="00C81172" w:rsidRPr="004E3548">
        <w:rPr>
          <w:color w:val="000000"/>
        </w:rPr>
        <w:t xml:space="preserve">in § </w:t>
      </w:r>
      <w:fldSimple w:instr=" REF _Ref346723791 \r \h  \* MERGEFORMAT ">
        <w:r w:rsidR="004E3548" w:rsidRPr="004E3548">
          <w:rPr>
            <w:color w:val="000000"/>
          </w:rPr>
          <w:t>63</w:t>
        </w:r>
      </w:fldSimple>
      <w:r w:rsidR="00C81172" w:rsidRPr="004E3548">
        <w:rPr>
          <w:color w:val="000000"/>
        </w:rPr>
        <w:t xml:space="preserve"> </w:t>
      </w:r>
      <w:r w:rsidR="00437834" w:rsidRPr="004E3548">
        <w:t>abo</w:t>
      </w:r>
      <w:r w:rsidR="00437834" w:rsidRPr="00A5537A">
        <w:t xml:space="preserve">ve, at </w:t>
      </w:r>
      <w:r w:rsidRPr="00A5537A">
        <w:rPr>
          <w:lang w:eastAsia="en-US"/>
        </w:rPr>
        <w:t>§§ 215</w:t>
      </w:r>
      <w:r w:rsidRPr="00A5537A">
        <w:rPr>
          <w:lang w:eastAsia="en-US"/>
        </w:rPr>
        <w:noBreakHyphen/>
        <w:t xml:space="preserve">224; </w:t>
      </w:r>
      <w:proofErr w:type="spellStart"/>
      <w:r w:rsidR="00FF43CB" w:rsidRPr="00A5537A">
        <w:rPr>
          <w:lang w:eastAsia="en-US"/>
        </w:rPr>
        <w:t>ECtHR</w:t>
      </w:r>
      <w:proofErr w:type="spellEnd"/>
      <w:r w:rsidR="00FF43CB" w:rsidRPr="00A5537A">
        <w:rPr>
          <w:lang w:eastAsia="en-US"/>
        </w:rPr>
        <w:t xml:space="preserve">, </w:t>
      </w:r>
      <w:proofErr w:type="spellStart"/>
      <w:r w:rsidRPr="00A5537A">
        <w:rPr>
          <w:i/>
          <w:lang w:eastAsia="en-US"/>
        </w:rPr>
        <w:t>Musayev</w:t>
      </w:r>
      <w:proofErr w:type="spellEnd"/>
      <w:r w:rsidRPr="00A5537A">
        <w:rPr>
          <w:i/>
          <w:lang w:eastAsia="en-US"/>
        </w:rPr>
        <w:t xml:space="preserve"> and Others v. Russia</w:t>
      </w:r>
      <w:r w:rsidRPr="00A5537A">
        <w:rPr>
          <w:lang w:eastAsia="en-US"/>
        </w:rPr>
        <w:t>, nos. 57941/00</w:t>
      </w:r>
      <w:r w:rsidR="00FF43CB" w:rsidRPr="00A5537A">
        <w:rPr>
          <w:lang w:eastAsia="en-US"/>
        </w:rPr>
        <w:t xml:space="preserve"> and others</w:t>
      </w:r>
      <w:r w:rsidRPr="00A5537A">
        <w:rPr>
          <w:lang w:eastAsia="en-US"/>
        </w:rPr>
        <w:t xml:space="preserve">, judgment of 26 July 2007, §§ 158-165). </w:t>
      </w:r>
    </w:p>
    <w:p w:rsidR="00005EDC" w:rsidRPr="00A5537A" w:rsidRDefault="00005EDC" w:rsidP="00EC64DD">
      <w:pPr>
        <w:pStyle w:val="ListParagraph"/>
        <w:tabs>
          <w:tab w:val="left" w:pos="360"/>
        </w:tabs>
        <w:ind w:left="360" w:hanging="360"/>
        <w:jc w:val="both"/>
        <w:rPr>
          <w:color w:val="000000"/>
          <w:lang w:eastAsia="en-US"/>
        </w:rPr>
      </w:pPr>
    </w:p>
    <w:p w:rsidR="00005EDC" w:rsidRPr="00A5537A" w:rsidRDefault="00005EDC" w:rsidP="00EC64DD">
      <w:pPr>
        <w:pStyle w:val="ListParagraph"/>
        <w:numPr>
          <w:ilvl w:val="0"/>
          <w:numId w:val="5"/>
        </w:numPr>
        <w:tabs>
          <w:tab w:val="left" w:pos="360"/>
        </w:tabs>
        <w:suppressAutoHyphens w:val="0"/>
        <w:ind w:left="360"/>
        <w:contextualSpacing/>
        <w:jc w:val="both"/>
        <w:rPr>
          <w:i/>
          <w:color w:val="000000"/>
          <w:lang w:eastAsia="en-US"/>
        </w:rPr>
      </w:pPr>
      <w:r w:rsidRPr="00A5537A">
        <w:rPr>
          <w:color w:val="000000"/>
          <w:lang w:eastAsia="en-US"/>
        </w:rPr>
        <w:t xml:space="preserve">Similarly, the HRC has held that the right to life, including its procedural guarantees, shall be considered as the supreme right from which no derogation is </w:t>
      </w:r>
      <w:r w:rsidRPr="00A5537A">
        <w:t>permitted</w:t>
      </w:r>
      <w:r w:rsidRPr="00A5537A">
        <w:rPr>
          <w:color w:val="000000"/>
          <w:lang w:eastAsia="en-US"/>
        </w:rPr>
        <w:t xml:space="preserve"> even in time of public emergency which threatens the life of the nation (see, HRC, General Comment No. 6, cited </w:t>
      </w:r>
      <w:r w:rsidR="00C81172" w:rsidRPr="00A5537A">
        <w:rPr>
          <w:color w:val="000000"/>
          <w:lang w:eastAsia="en-US"/>
        </w:rPr>
        <w:t xml:space="preserve">in § </w:t>
      </w:r>
      <w:fldSimple w:instr=" REF _Ref348512105 \r \h  \* MERGEFORMAT ">
        <w:r w:rsidR="00A172DA" w:rsidRPr="00A172DA">
          <w:rPr>
            <w:color w:val="000000"/>
            <w:lang w:eastAsia="en-US"/>
          </w:rPr>
          <w:t>58</w:t>
        </w:r>
      </w:fldSimple>
      <w:r w:rsidR="00C81172" w:rsidRPr="00A5537A">
        <w:rPr>
          <w:color w:val="000000"/>
          <w:lang w:eastAsia="en-US"/>
        </w:rPr>
        <w:t xml:space="preserve"> </w:t>
      </w:r>
      <w:r w:rsidRPr="00A5537A">
        <w:rPr>
          <w:color w:val="000000"/>
          <w:lang w:eastAsia="en-US"/>
        </w:rPr>
        <w:t xml:space="preserve">above, </w:t>
      </w:r>
      <w:r w:rsidR="00C81172" w:rsidRPr="00A5537A">
        <w:rPr>
          <w:color w:val="000000"/>
          <w:lang w:eastAsia="en-US"/>
        </w:rPr>
        <w:t xml:space="preserve">at </w:t>
      </w:r>
      <w:r w:rsidRPr="00A5537A">
        <w:rPr>
          <w:color w:val="000000"/>
          <w:lang w:eastAsia="en-US"/>
        </w:rPr>
        <w:t xml:space="preserve">§ 1; HRC, </w:t>
      </w:r>
      <w:proofErr w:type="spellStart"/>
      <w:r w:rsidRPr="00A5537A">
        <w:rPr>
          <w:i/>
          <w:color w:val="000000"/>
          <w:lang w:eastAsia="en-US"/>
        </w:rPr>
        <w:t>Abubakar</w:t>
      </w:r>
      <w:proofErr w:type="spellEnd"/>
      <w:r w:rsidRPr="00A5537A">
        <w:rPr>
          <w:i/>
          <w:color w:val="000000"/>
          <w:lang w:eastAsia="en-US"/>
        </w:rPr>
        <w:t xml:space="preserve"> </w:t>
      </w:r>
      <w:proofErr w:type="spellStart"/>
      <w:r w:rsidRPr="00A5537A">
        <w:rPr>
          <w:i/>
          <w:color w:val="000000"/>
          <w:lang w:eastAsia="en-US"/>
        </w:rPr>
        <w:t>Amirov</w:t>
      </w:r>
      <w:proofErr w:type="spellEnd"/>
      <w:r w:rsidRPr="00A5537A">
        <w:rPr>
          <w:i/>
          <w:color w:val="000000"/>
          <w:lang w:eastAsia="en-US"/>
        </w:rPr>
        <w:t xml:space="preserve"> and </w:t>
      </w:r>
      <w:proofErr w:type="spellStart"/>
      <w:r w:rsidRPr="00A5537A">
        <w:rPr>
          <w:i/>
          <w:color w:val="000000"/>
          <w:lang w:eastAsia="en-US"/>
        </w:rPr>
        <w:t>Aïzan</w:t>
      </w:r>
      <w:proofErr w:type="spellEnd"/>
      <w:r w:rsidRPr="00A5537A">
        <w:rPr>
          <w:i/>
          <w:color w:val="000000"/>
          <w:lang w:eastAsia="en-US"/>
        </w:rPr>
        <w:t xml:space="preserve"> </w:t>
      </w:r>
      <w:proofErr w:type="spellStart"/>
      <w:r w:rsidRPr="00A5537A">
        <w:rPr>
          <w:i/>
          <w:color w:val="000000"/>
          <w:lang w:eastAsia="en-US"/>
        </w:rPr>
        <w:t>Amirova</w:t>
      </w:r>
      <w:proofErr w:type="spellEnd"/>
      <w:r w:rsidRPr="00A5537A">
        <w:rPr>
          <w:i/>
          <w:color w:val="000000"/>
          <w:lang w:eastAsia="en-US"/>
        </w:rPr>
        <w:t xml:space="preserve"> v. Russi</w:t>
      </w:r>
      <w:r w:rsidRPr="00A5537A">
        <w:t>a</w:t>
      </w:r>
      <w:r w:rsidRPr="00A5537A">
        <w:rPr>
          <w:i/>
          <w:color w:val="000000"/>
          <w:lang w:eastAsia="en-US"/>
        </w:rPr>
        <w:t>n Federation</w:t>
      </w:r>
      <w:r w:rsidRPr="00A5537A">
        <w:rPr>
          <w:color w:val="000000"/>
          <w:lang w:eastAsia="en-US"/>
        </w:rPr>
        <w:t xml:space="preserve">, </w:t>
      </w:r>
      <w:r w:rsidR="0017646A">
        <w:rPr>
          <w:color w:val="000000"/>
          <w:lang w:eastAsia="en-US"/>
        </w:rPr>
        <w:t xml:space="preserve">communication no. 1447/2006, views of </w:t>
      </w:r>
      <w:r w:rsidRPr="00A5537A">
        <w:rPr>
          <w:color w:val="000000"/>
          <w:lang w:eastAsia="en-US"/>
        </w:rPr>
        <w:t>22 April 2009, § 11.2</w:t>
      </w:r>
      <w:r w:rsidR="00012218" w:rsidRPr="00A5537A">
        <w:rPr>
          <w:color w:val="000000"/>
          <w:lang w:eastAsia="en-US"/>
        </w:rPr>
        <w:t xml:space="preserve">, </w:t>
      </w:r>
      <w:r w:rsidR="0052586F" w:rsidRPr="00A5537A">
        <w:rPr>
          <w:bCs/>
          <w:lang w:eastAsia="en-US"/>
        </w:rPr>
        <w:t>CCPR/C/95/D/1447/2006</w:t>
      </w:r>
      <w:r w:rsidRPr="00A5537A">
        <w:rPr>
          <w:lang w:eastAsia="en-US"/>
        </w:rPr>
        <w:t>).</w:t>
      </w:r>
      <w:r w:rsidRPr="00A5537A">
        <w:rPr>
          <w:color w:val="000000"/>
          <w:lang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A5537A">
        <w:rPr>
          <w:lang w:eastAsia="en-US"/>
        </w:rPr>
        <w:t>§§ 12-13</w:t>
      </w:r>
      <w:r w:rsidR="00E3163C" w:rsidRPr="00A5537A">
        <w:rPr>
          <w:lang w:eastAsia="en-US"/>
        </w:rPr>
        <w:t>, CCPR/C/UNK/CO/1</w:t>
      </w:r>
      <w:r w:rsidRPr="00A5537A">
        <w:rPr>
          <w:lang w:eastAsia="en-US"/>
        </w:rPr>
        <w:t>).</w:t>
      </w:r>
    </w:p>
    <w:p w:rsidR="00005EDC" w:rsidRPr="00A5537A" w:rsidRDefault="00005EDC" w:rsidP="00EC64DD">
      <w:pPr>
        <w:tabs>
          <w:tab w:val="left" w:pos="360"/>
        </w:tabs>
        <w:ind w:left="360" w:hanging="360"/>
      </w:pPr>
    </w:p>
    <w:p w:rsidR="00294F1B" w:rsidRDefault="00005EDC" w:rsidP="00294F1B">
      <w:pPr>
        <w:pStyle w:val="ListParagraph"/>
        <w:numPr>
          <w:ilvl w:val="0"/>
          <w:numId w:val="5"/>
        </w:numPr>
        <w:tabs>
          <w:tab w:val="left" w:pos="360"/>
        </w:tabs>
        <w:suppressAutoHyphens w:val="0"/>
        <w:ind w:left="360"/>
        <w:contextualSpacing/>
        <w:jc w:val="both"/>
      </w:pPr>
      <w:bookmarkStart w:id="29" w:name="_Ref343611663"/>
      <w:r w:rsidRPr="00A5537A">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A5537A">
        <w:rPr>
          <w:color w:val="000000"/>
        </w:rPr>
        <w:t xml:space="preserve">officers or units of UNMIK Police. Such </w:t>
      </w:r>
      <w:r w:rsidR="00041AD7" w:rsidRPr="00A5537A">
        <w:rPr>
          <w:color w:val="000000"/>
        </w:rPr>
        <w:t xml:space="preserve">a </w:t>
      </w:r>
      <w:r w:rsidRPr="00A5537A">
        <w:rPr>
          <w:color w:val="000000"/>
        </w:rPr>
        <w:t>system should also take account of the protection needs of victims and witnesses</w:t>
      </w:r>
      <w:r w:rsidR="00704732" w:rsidRPr="00A5537A">
        <w:rPr>
          <w:color w:val="000000"/>
        </w:rPr>
        <w:t xml:space="preserve"> (see, </w:t>
      </w:r>
      <w:r w:rsidR="00704732" w:rsidRPr="00A5537A">
        <w:rPr>
          <w:i/>
          <w:color w:val="000000"/>
        </w:rPr>
        <w:t>mutatis mutandis</w:t>
      </w:r>
      <w:r w:rsidR="00704732" w:rsidRPr="00A5537A">
        <w:rPr>
          <w:color w:val="000000"/>
        </w:rPr>
        <w:t xml:space="preserve">, </w:t>
      </w:r>
      <w:proofErr w:type="spellStart"/>
      <w:r w:rsidR="00704732" w:rsidRPr="00A5537A">
        <w:rPr>
          <w:color w:val="000000"/>
        </w:rPr>
        <w:t>ECtHR</w:t>
      </w:r>
      <w:proofErr w:type="spellEnd"/>
      <w:r w:rsidR="00704732" w:rsidRPr="00A5537A">
        <w:rPr>
          <w:color w:val="000000"/>
        </w:rPr>
        <w:t xml:space="preserve">, </w:t>
      </w:r>
      <w:r w:rsidR="00704732" w:rsidRPr="00A5537A">
        <w:rPr>
          <w:i/>
          <w:color w:val="000000"/>
        </w:rPr>
        <w:t>R.R. and Others v. Hungary</w:t>
      </w:r>
      <w:r w:rsidR="00704732" w:rsidRPr="00A5537A">
        <w:rPr>
          <w:color w:val="000000"/>
        </w:rPr>
        <w:t>, no. 19400/11, judgment of 4 December 2012, §§ 28-32)</w:t>
      </w:r>
      <w:r w:rsidR="00D93FE8" w:rsidRPr="00A5537A">
        <w:rPr>
          <w:color w:val="000000"/>
        </w:rPr>
        <w:t xml:space="preserve">, as well as </w:t>
      </w:r>
      <w:r w:rsidR="003A5E2D" w:rsidRPr="00A5537A">
        <w:rPr>
          <w:color w:val="000000"/>
        </w:rPr>
        <w:t xml:space="preserve">to </w:t>
      </w:r>
      <w:r w:rsidR="00D93FE8" w:rsidRPr="00A5537A">
        <w:rPr>
          <w:color w:val="000000"/>
        </w:rPr>
        <w:t>consider</w:t>
      </w:r>
      <w:r w:rsidR="003A5E2D" w:rsidRPr="00A5537A">
        <w:rPr>
          <w:color w:val="000000"/>
        </w:rPr>
        <w:t xml:space="preserve"> </w:t>
      </w:r>
      <w:r w:rsidR="00570D6A">
        <w:rPr>
          <w:color w:val="000000"/>
        </w:rPr>
        <w:t xml:space="preserve">the special </w:t>
      </w:r>
      <w:r w:rsidR="00570D6A" w:rsidRPr="00A5537A">
        <w:rPr>
          <w:color w:val="000000"/>
          <w:lang w:val="en-GB"/>
        </w:rPr>
        <w:t>vulnerability</w:t>
      </w:r>
      <w:r w:rsidR="00D93FE8" w:rsidRPr="00A5537A">
        <w:rPr>
          <w:color w:val="000000"/>
          <w:lang w:val="en-GB"/>
        </w:rPr>
        <w:t xml:space="preserve"> of </w:t>
      </w:r>
      <w:r w:rsidR="0022364D" w:rsidRPr="00A5537A">
        <w:rPr>
          <w:color w:val="000000"/>
          <w:lang w:val="en-GB"/>
        </w:rPr>
        <w:t>displaced persons</w:t>
      </w:r>
      <w:r w:rsidR="00D93FE8" w:rsidRPr="00A5537A">
        <w:rPr>
          <w:color w:val="000000"/>
        </w:rPr>
        <w:t xml:space="preserve"> in post-conflict situations </w:t>
      </w:r>
      <w:r w:rsidR="00704732" w:rsidRPr="00A5537A">
        <w:rPr>
          <w:color w:val="000000"/>
        </w:rPr>
        <w:t>(see</w:t>
      </w:r>
      <w:r w:rsidR="00D93FE8" w:rsidRPr="00A5537A">
        <w:rPr>
          <w:color w:val="000000"/>
        </w:rPr>
        <w:t xml:space="preserve"> </w:t>
      </w:r>
      <w:proofErr w:type="spellStart"/>
      <w:r w:rsidR="000709F0" w:rsidRPr="00A5537A">
        <w:rPr>
          <w:color w:val="000000"/>
        </w:rPr>
        <w:t>ECtHR</w:t>
      </w:r>
      <w:proofErr w:type="spellEnd"/>
      <w:r w:rsidR="000709F0" w:rsidRPr="00A5537A">
        <w:rPr>
          <w:color w:val="000000"/>
        </w:rPr>
        <w:t xml:space="preserve"> </w:t>
      </w:r>
      <w:r w:rsidR="00FF43CB" w:rsidRPr="00A5537A">
        <w:rPr>
          <w:color w:val="000000"/>
        </w:rPr>
        <w:t>[GC]</w:t>
      </w:r>
      <w:r w:rsidR="000709F0" w:rsidRPr="00A5537A">
        <w:rPr>
          <w:color w:val="000000"/>
        </w:rPr>
        <w:t xml:space="preserve">, </w:t>
      </w:r>
      <w:proofErr w:type="spellStart"/>
      <w:r w:rsidR="00D93FE8" w:rsidRPr="00A5537A">
        <w:rPr>
          <w:i/>
          <w:color w:val="000000"/>
        </w:rPr>
        <w:t>Sargsyan</w:t>
      </w:r>
      <w:proofErr w:type="spellEnd"/>
      <w:r w:rsidR="00D93FE8" w:rsidRPr="00A5537A">
        <w:rPr>
          <w:i/>
          <w:color w:val="000000"/>
        </w:rPr>
        <w:t xml:space="preserve"> v. Azerbaijan, </w:t>
      </w:r>
      <w:r w:rsidR="005E362B" w:rsidRPr="00A5537A">
        <w:rPr>
          <w:color w:val="000000"/>
        </w:rPr>
        <w:t>no. 40167/06, decision</w:t>
      </w:r>
      <w:r w:rsidR="005200EF" w:rsidRPr="00A5537A">
        <w:rPr>
          <w:color w:val="000000"/>
        </w:rPr>
        <w:t xml:space="preserve"> of 14 December 2011, § 145</w:t>
      </w:r>
      <w:r w:rsidR="000709F0" w:rsidRPr="00A5537A">
        <w:rPr>
          <w:color w:val="000000"/>
        </w:rPr>
        <w:t>; and</w:t>
      </w:r>
      <w:r w:rsidR="005E362B" w:rsidRPr="00A5537A">
        <w:rPr>
          <w:color w:val="000000"/>
        </w:rPr>
        <w:t xml:space="preserve"> </w:t>
      </w:r>
      <w:proofErr w:type="spellStart"/>
      <w:r w:rsidR="00FF43CB" w:rsidRPr="00A5537A">
        <w:rPr>
          <w:color w:val="000000"/>
        </w:rPr>
        <w:t>ECtHR</w:t>
      </w:r>
      <w:proofErr w:type="spellEnd"/>
      <w:r w:rsidR="00FF43CB" w:rsidRPr="00A5537A">
        <w:rPr>
          <w:color w:val="000000"/>
        </w:rPr>
        <w:t xml:space="preserve"> [GC]</w:t>
      </w:r>
      <w:r w:rsidR="000709F0" w:rsidRPr="00A5537A">
        <w:rPr>
          <w:color w:val="000000"/>
        </w:rPr>
        <w:t xml:space="preserve">, </w:t>
      </w:r>
      <w:proofErr w:type="spellStart"/>
      <w:r w:rsidR="000709F0" w:rsidRPr="00A5537A">
        <w:rPr>
          <w:i/>
          <w:color w:val="000000"/>
        </w:rPr>
        <w:t>Chiragov</w:t>
      </w:r>
      <w:proofErr w:type="spellEnd"/>
      <w:r w:rsidR="000709F0" w:rsidRPr="00A5537A">
        <w:rPr>
          <w:i/>
          <w:color w:val="000000"/>
        </w:rPr>
        <w:t xml:space="preserve"> and </w:t>
      </w:r>
      <w:r w:rsidR="003A5E2D" w:rsidRPr="00A5537A">
        <w:rPr>
          <w:i/>
          <w:color w:val="000000"/>
        </w:rPr>
        <w:t>O</w:t>
      </w:r>
      <w:r w:rsidR="000709F0" w:rsidRPr="00A5537A">
        <w:rPr>
          <w:i/>
          <w:color w:val="000000"/>
        </w:rPr>
        <w:t>thers</w:t>
      </w:r>
      <w:r w:rsidR="003A5E2D" w:rsidRPr="00A5537A">
        <w:rPr>
          <w:i/>
          <w:color w:val="000000"/>
        </w:rPr>
        <w:t xml:space="preserve"> </w:t>
      </w:r>
      <w:r w:rsidR="000709F0" w:rsidRPr="00A5537A">
        <w:rPr>
          <w:i/>
          <w:color w:val="000000"/>
        </w:rPr>
        <w:t>v. Armenia</w:t>
      </w:r>
      <w:r w:rsidR="000709F0" w:rsidRPr="00A5537A">
        <w:rPr>
          <w:color w:val="000000"/>
        </w:rPr>
        <w:t>, no. 13216/05, decision of 14 December 2011, § 146</w:t>
      </w:r>
      <w:r w:rsidRPr="00A5537A">
        <w:rPr>
          <w:color w:val="000000"/>
        </w:rPr>
        <w:t xml:space="preserve">). While understanding that the deployment and the </w:t>
      </w:r>
      <w:proofErr w:type="spellStart"/>
      <w:r w:rsidRPr="00A5537A">
        <w:rPr>
          <w:color w:val="000000"/>
        </w:rPr>
        <w:t>organisation</w:t>
      </w:r>
      <w:proofErr w:type="spellEnd"/>
      <w:r w:rsidRPr="00A5537A">
        <w:rPr>
          <w:color w:val="000000"/>
        </w:rPr>
        <w:t xml:space="preserve"> of the police and justice apparatus occurred</w:t>
      </w:r>
      <w:r w:rsidRPr="00A5537A">
        <w:t xml:space="preserve"> gradually, the Panel deems that this process was completed in 2003 when the police and justice system in Kosovo was described as being “well-functioning” and “sustainable” by the UN Secretary-General (see </w:t>
      </w:r>
      <w:r w:rsidRPr="00A5537A">
        <w:rPr>
          <w:lang w:eastAsia="en-US"/>
        </w:rPr>
        <w:t xml:space="preserve">§ </w:t>
      </w:r>
      <w:fldSimple w:instr=" REF _Ref346123767 \r \h  \* MERGEFORMAT ">
        <w:r w:rsidR="004E3548">
          <w:rPr>
            <w:lang w:eastAsia="en-US"/>
          </w:rPr>
          <w:t>17</w:t>
        </w:r>
      </w:fldSimple>
      <w:r w:rsidR="00A82979" w:rsidRPr="00A5537A">
        <w:rPr>
          <w:lang w:eastAsia="en-US"/>
        </w:rPr>
        <w:t xml:space="preserve"> </w:t>
      </w:r>
      <w:r w:rsidRPr="00A5537A">
        <w:t>above).</w:t>
      </w:r>
      <w:bookmarkEnd w:id="29"/>
    </w:p>
    <w:p w:rsidR="00294F1B" w:rsidRDefault="00294F1B" w:rsidP="00294F1B">
      <w:pPr>
        <w:pStyle w:val="ListParagraph"/>
        <w:tabs>
          <w:tab w:val="left" w:pos="360"/>
        </w:tabs>
        <w:suppressAutoHyphens w:val="0"/>
        <w:ind w:left="360"/>
        <w:contextualSpacing/>
        <w:jc w:val="both"/>
      </w:pPr>
    </w:p>
    <w:p w:rsidR="00294F1B" w:rsidRPr="00513A63" w:rsidRDefault="00294F1B" w:rsidP="00294F1B">
      <w:pPr>
        <w:pStyle w:val="ListParagraph"/>
        <w:numPr>
          <w:ilvl w:val="0"/>
          <w:numId w:val="5"/>
        </w:numPr>
        <w:tabs>
          <w:tab w:val="left" w:pos="360"/>
        </w:tabs>
        <w:suppressAutoHyphens w:val="0"/>
        <w:ind w:left="360"/>
        <w:contextualSpacing/>
        <w:jc w:val="both"/>
      </w:pPr>
      <w:r w:rsidRPr="00513A63">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513A63">
        <w:t>ECtHR</w:t>
      </w:r>
      <w:proofErr w:type="spellEnd"/>
      <w:r w:rsidRPr="00513A63">
        <w:t xml:space="preserve">, </w:t>
      </w:r>
      <w:proofErr w:type="spellStart"/>
      <w:r w:rsidRPr="00294F1B">
        <w:rPr>
          <w:i/>
        </w:rPr>
        <w:t>Palić</w:t>
      </w:r>
      <w:proofErr w:type="spellEnd"/>
      <w:r w:rsidRPr="00294F1B">
        <w:rPr>
          <w:i/>
        </w:rPr>
        <w:t xml:space="preserve"> v. Bosnia and Herzegovina,</w:t>
      </w:r>
      <w:r w:rsidRPr="00513A63">
        <w:t xml:space="preserve"> cited </w:t>
      </w:r>
      <w:r w:rsidRPr="00294F1B">
        <w:t xml:space="preserve">§ </w:t>
      </w:r>
      <w:r w:rsidR="004E3548">
        <w:rPr>
          <w:highlight w:val="yellow"/>
        </w:rPr>
        <w:fldChar w:fldCharType="begin"/>
      </w:r>
      <w:r w:rsidR="004E3548">
        <w:instrText xml:space="preserve"> REF _Ref346724174 \r \h </w:instrText>
      </w:r>
      <w:r w:rsidR="004E3548">
        <w:rPr>
          <w:highlight w:val="yellow"/>
        </w:rPr>
      </w:r>
      <w:r w:rsidR="004E3548">
        <w:rPr>
          <w:highlight w:val="yellow"/>
        </w:rPr>
        <w:fldChar w:fldCharType="separate"/>
      </w:r>
      <w:r w:rsidR="004E3548">
        <w:t>64</w:t>
      </w:r>
      <w:r w:rsidR="004E3548">
        <w:rPr>
          <w:highlight w:val="yellow"/>
        </w:rPr>
        <w:fldChar w:fldCharType="end"/>
      </w:r>
      <w:r w:rsidRPr="00513A63">
        <w:t xml:space="preserve"> above, </w:t>
      </w:r>
      <w:proofErr w:type="spellStart"/>
      <w:r w:rsidRPr="00294F1B">
        <w:rPr>
          <w:i/>
        </w:rPr>
        <w:t>Brecknell</w:t>
      </w:r>
      <w:proofErr w:type="spellEnd"/>
      <w:r w:rsidRPr="00294F1B">
        <w:rPr>
          <w:i/>
        </w:rPr>
        <w:t xml:space="preserve"> v. The United Kingdom,</w:t>
      </w:r>
      <w:r w:rsidRPr="00513A63">
        <w:t xml:space="preserve"> no. 32457/04, 27 November 2007, § 70).</w:t>
      </w:r>
    </w:p>
    <w:p w:rsidR="00005EDC" w:rsidRPr="00294F1B" w:rsidRDefault="00005EDC" w:rsidP="00294F1B">
      <w:pPr>
        <w:tabs>
          <w:tab w:val="left" w:pos="360"/>
        </w:tabs>
        <w:rPr>
          <w:lang w:val="en-GB"/>
        </w:rPr>
      </w:pPr>
    </w:p>
    <w:p w:rsidR="00005EDC" w:rsidRDefault="00005EDC" w:rsidP="00EC64DD">
      <w:pPr>
        <w:numPr>
          <w:ilvl w:val="0"/>
          <w:numId w:val="5"/>
        </w:numPr>
        <w:tabs>
          <w:tab w:val="left" w:pos="360"/>
        </w:tabs>
        <w:suppressAutoHyphens/>
        <w:autoSpaceDE w:val="0"/>
        <w:ind w:left="360"/>
        <w:jc w:val="both"/>
        <w:rPr>
          <w:rStyle w:val="sb8d990e2"/>
        </w:rPr>
      </w:pPr>
      <w:r w:rsidRPr="00A5537A">
        <w:rPr>
          <w:rStyle w:val="sb8d990e2"/>
        </w:rPr>
        <w:t xml:space="preserve">The Panel further notes that its task is not to review relevant practices or alleged obstacles to the conduct of effective investigations </w:t>
      </w:r>
      <w:r w:rsidRPr="00A5537A">
        <w:rPr>
          <w:rStyle w:val="s6b621b36"/>
          <w:i/>
        </w:rPr>
        <w:t xml:space="preserve">in </w:t>
      </w:r>
      <w:proofErr w:type="spellStart"/>
      <w:r w:rsidRPr="00A5537A">
        <w:rPr>
          <w:rStyle w:val="wordhighlighted"/>
          <w:i/>
        </w:rPr>
        <w:t>abstracto</w:t>
      </w:r>
      <w:proofErr w:type="spellEnd"/>
      <w:r w:rsidRPr="00A5537A">
        <w:rPr>
          <w:rStyle w:val="sb8d990e2"/>
        </w:rPr>
        <w:t xml:space="preserve">, but only in relation to their specific application to the particular circumstances of a situation subject of a complaint before </w:t>
      </w:r>
      <w:r w:rsidRPr="00A5537A">
        <w:rPr>
          <w:rStyle w:val="sb8d990e2"/>
          <w:color w:val="000000"/>
        </w:rPr>
        <w:t>it (see</w:t>
      </w:r>
      <w:r w:rsidR="003A5E2D" w:rsidRPr="00A5537A">
        <w:rPr>
          <w:rStyle w:val="sb8d990e2"/>
          <w:color w:val="000000"/>
        </w:rPr>
        <w:t>,</w:t>
      </w:r>
      <w:r w:rsidRPr="00A5537A">
        <w:rPr>
          <w:rStyle w:val="sb8d990e2"/>
          <w:color w:val="000000"/>
        </w:rPr>
        <w:t xml:space="preserve"> </w:t>
      </w:r>
      <w:proofErr w:type="spellStart"/>
      <w:r w:rsidRPr="00A5537A">
        <w:rPr>
          <w:rStyle w:val="sb8d990e2"/>
          <w:color w:val="000000"/>
        </w:rPr>
        <w:t>EC</w:t>
      </w:r>
      <w:r w:rsidR="003A5E2D" w:rsidRPr="00A5537A">
        <w:rPr>
          <w:rStyle w:val="sb8d990e2"/>
          <w:color w:val="000000"/>
        </w:rPr>
        <w:t>t</w:t>
      </w:r>
      <w:r w:rsidRPr="00A5537A">
        <w:rPr>
          <w:rStyle w:val="sb8d990e2"/>
          <w:color w:val="000000"/>
        </w:rPr>
        <w:t>HR</w:t>
      </w:r>
      <w:proofErr w:type="spellEnd"/>
      <w:r w:rsidRPr="00A5537A">
        <w:rPr>
          <w:rStyle w:val="sb8d990e2"/>
          <w:color w:val="000000"/>
        </w:rPr>
        <w:t xml:space="preserve">, </w:t>
      </w:r>
      <w:r w:rsidRPr="00A5537A">
        <w:rPr>
          <w:rStyle w:val="s6b621b36"/>
          <w:i/>
          <w:color w:val="000000"/>
        </w:rPr>
        <w:t>Brogan</w:t>
      </w:r>
      <w:r w:rsidRPr="00A5537A">
        <w:rPr>
          <w:rStyle w:val="s6b621b36"/>
          <w:i/>
        </w:rPr>
        <w:t xml:space="preserve"> and Others v. the United </w:t>
      </w:r>
      <w:r w:rsidRPr="00A5537A">
        <w:rPr>
          <w:rStyle w:val="s6b621b36"/>
          <w:i/>
          <w:color w:val="000000"/>
        </w:rPr>
        <w:t>Kingdom</w:t>
      </w:r>
      <w:r w:rsidRPr="00A5537A">
        <w:rPr>
          <w:rStyle w:val="sb8d990e2"/>
          <w:color w:val="000000"/>
        </w:rPr>
        <w:t xml:space="preserve">, </w:t>
      </w:r>
      <w:r w:rsidRPr="00A5537A">
        <w:rPr>
          <w:rStyle w:val="column01"/>
          <w:color w:val="000000"/>
        </w:rPr>
        <w:t>judgment of</w:t>
      </w:r>
      <w:r w:rsidRPr="00A5537A">
        <w:rPr>
          <w:rStyle w:val="sb8d990e2"/>
          <w:color w:val="000000"/>
        </w:rPr>
        <w:t xml:space="preserve"> 29</w:t>
      </w:r>
      <w:r w:rsidRPr="00A5537A">
        <w:rPr>
          <w:rStyle w:val="sb8d990e2"/>
        </w:rPr>
        <w:t xml:space="preserve"> November 1988,</w:t>
      </w:r>
      <w:r w:rsidRPr="00A5537A">
        <w:t xml:space="preserve"> </w:t>
      </w:r>
      <w:r w:rsidRPr="00A5537A">
        <w:rPr>
          <w:rStyle w:val="sb8d990e2"/>
        </w:rPr>
        <w:t>§ 53, Series A no. 145</w:t>
      </w:r>
      <w:r w:rsidR="000F013A" w:rsidRPr="00A5537A">
        <w:rPr>
          <w:rStyle w:val="sb8d990e2"/>
        </w:rPr>
        <w:t>-</w:t>
      </w:r>
      <w:r w:rsidRPr="00A5537A">
        <w:rPr>
          <w:rStyle w:val="sb8d990e2"/>
        </w:rPr>
        <w:t xml:space="preserve">B). </w:t>
      </w:r>
      <w:r w:rsidRPr="00A5537A">
        <w:t xml:space="preserve">The Panel thus agrees with the SRSG that the nature and degree of scrutiny to determine whether the effectiveness of the investigation satisfies the minimum threshold depends on the circumstances of the particular case. </w:t>
      </w:r>
      <w:r w:rsidRPr="00A5537A">
        <w:rPr>
          <w:rStyle w:val="sb8d990e2"/>
        </w:rPr>
        <w:t>For these reasons, the Panel considers that it will establish with regard to each case if all reasonable steps were taken to conduct an effective investigation as prescribed by Article 2,</w:t>
      </w:r>
      <w:r w:rsidRPr="00A5537A">
        <w:t xml:space="preserve"> </w:t>
      </w:r>
      <w:r w:rsidRPr="00A5537A">
        <w:rPr>
          <w:rStyle w:val="sb8d990e2"/>
        </w:rPr>
        <w:t>having regard to the realities of the investigative work in Kosovo</w:t>
      </w:r>
      <w:r w:rsidR="00F456B4" w:rsidRPr="00A5537A">
        <w:rPr>
          <w:rStyle w:val="sb8d990e2"/>
        </w:rPr>
        <w:t>.</w:t>
      </w:r>
    </w:p>
    <w:p w:rsidR="00005EDC" w:rsidRPr="00A5537A" w:rsidRDefault="00005EDC" w:rsidP="00294F1B">
      <w:pPr>
        <w:tabs>
          <w:tab w:val="left" w:pos="360"/>
        </w:tabs>
        <w:suppressAutoHyphens/>
        <w:jc w:val="both"/>
        <w:rPr>
          <w:b/>
          <w:i/>
          <w:lang w:val="en-GB"/>
        </w:rPr>
      </w:pPr>
    </w:p>
    <w:p w:rsidR="004F19FC" w:rsidRPr="00A5537A" w:rsidRDefault="004F19FC" w:rsidP="0024300A">
      <w:pPr>
        <w:pStyle w:val="ListParagraph"/>
        <w:numPr>
          <w:ilvl w:val="0"/>
          <w:numId w:val="35"/>
        </w:numPr>
        <w:tabs>
          <w:tab w:val="left" w:pos="360"/>
        </w:tabs>
        <w:suppressAutoHyphens w:val="0"/>
        <w:ind w:left="360"/>
        <w:contextualSpacing/>
        <w:jc w:val="both"/>
        <w:rPr>
          <w:bCs/>
          <w:i/>
          <w:lang w:val="en-GB"/>
        </w:rPr>
      </w:pPr>
      <w:r w:rsidRPr="00A5537A">
        <w:rPr>
          <w:i/>
          <w:color w:val="000000"/>
          <w:lang w:eastAsia="en-US"/>
        </w:rPr>
        <w:t>Compliance</w:t>
      </w:r>
      <w:r w:rsidRPr="00A5537A">
        <w:rPr>
          <w:bCs/>
          <w:i/>
          <w:lang w:val="en-GB"/>
        </w:rPr>
        <w:t xml:space="preserve"> with the requirements of Article 2 in the present case</w:t>
      </w:r>
    </w:p>
    <w:p w:rsidR="004F19FC" w:rsidRPr="00A5537A" w:rsidRDefault="004F19FC" w:rsidP="00EC64DD">
      <w:pPr>
        <w:tabs>
          <w:tab w:val="left" w:pos="360"/>
        </w:tabs>
        <w:suppressAutoHyphens/>
        <w:ind w:left="360" w:hanging="360"/>
        <w:jc w:val="both"/>
        <w:rPr>
          <w:b/>
          <w:i/>
          <w:lang w:val="en-GB"/>
        </w:rPr>
      </w:pPr>
    </w:p>
    <w:p w:rsidR="0022364D" w:rsidRPr="00570D6A" w:rsidRDefault="004F19FC" w:rsidP="00EC64DD">
      <w:pPr>
        <w:numPr>
          <w:ilvl w:val="0"/>
          <w:numId w:val="5"/>
        </w:numPr>
        <w:tabs>
          <w:tab w:val="left" w:pos="360"/>
        </w:tabs>
        <w:suppressAutoHyphens/>
        <w:autoSpaceDE w:val="0"/>
        <w:ind w:left="360"/>
        <w:jc w:val="both"/>
        <w:rPr>
          <w:bCs/>
          <w:lang w:val="en-GB"/>
        </w:rPr>
      </w:pPr>
      <w:r w:rsidRPr="00570D6A">
        <w:rPr>
          <w:bCs/>
          <w:lang w:val="en-GB"/>
        </w:rPr>
        <w:t xml:space="preserve">Turning to the circumstances of the present case, the Panel </w:t>
      </w:r>
      <w:r w:rsidRPr="00570D6A">
        <w:rPr>
          <w:lang w:val="en-GB"/>
        </w:rPr>
        <w:t xml:space="preserve">first </w:t>
      </w:r>
      <w:r w:rsidRPr="00570D6A">
        <w:t>a</w:t>
      </w:r>
      <w:r w:rsidR="003261AD" w:rsidRPr="00570D6A">
        <w:t>ddress</w:t>
      </w:r>
      <w:r w:rsidR="00454AA4" w:rsidRPr="00570D6A">
        <w:t>es</w:t>
      </w:r>
      <w:r w:rsidR="003261AD" w:rsidRPr="00570D6A">
        <w:rPr>
          <w:lang w:val="en-GB"/>
        </w:rPr>
        <w:t xml:space="preserve"> the issue </w:t>
      </w:r>
      <w:r w:rsidRPr="00570D6A">
        <w:rPr>
          <w:lang w:val="en-GB"/>
        </w:rPr>
        <w:t xml:space="preserve">of </w:t>
      </w:r>
      <w:r w:rsidR="00454AA4" w:rsidRPr="00570D6A">
        <w:rPr>
          <w:lang w:val="en-GB"/>
        </w:rPr>
        <w:t xml:space="preserve">the </w:t>
      </w:r>
      <w:r w:rsidRPr="00570D6A">
        <w:rPr>
          <w:lang w:val="en-GB"/>
        </w:rPr>
        <w:t>burden of proof</w:t>
      </w:r>
      <w:r w:rsidR="003261AD" w:rsidRPr="00570D6A">
        <w:rPr>
          <w:lang w:val="en-GB"/>
        </w:rPr>
        <w:t xml:space="preserve">. </w:t>
      </w:r>
      <w:r w:rsidRPr="00570D6A">
        <w:rPr>
          <w:lang w:val="en-GB"/>
        </w:rPr>
        <w:t xml:space="preserve">At the admissibility stage, the Panel was satisfied that the </w:t>
      </w:r>
      <w:r w:rsidR="00A813B6" w:rsidRPr="00570D6A">
        <w:rPr>
          <w:lang w:val="en-GB"/>
        </w:rPr>
        <w:t xml:space="preserve">complainant’s </w:t>
      </w:r>
      <w:r w:rsidRPr="00570D6A">
        <w:rPr>
          <w:lang w:val="en-GB"/>
        </w:rPr>
        <w:t xml:space="preserve">allegations were not groundless, thus it accepted the existence of a </w:t>
      </w:r>
      <w:r w:rsidRPr="00570D6A">
        <w:rPr>
          <w:i/>
          <w:lang w:val="en-GB"/>
        </w:rPr>
        <w:t>prima facie</w:t>
      </w:r>
      <w:r w:rsidR="0022364D" w:rsidRPr="00570D6A">
        <w:rPr>
          <w:lang w:val="en-GB"/>
        </w:rPr>
        <w:t xml:space="preserve"> case: that </w:t>
      </w:r>
      <w:proofErr w:type="spellStart"/>
      <w:r w:rsidR="00A10E63" w:rsidRPr="004E3548">
        <w:rPr>
          <w:lang w:val="en-GB"/>
        </w:rPr>
        <w:t>Borislav</w:t>
      </w:r>
      <w:proofErr w:type="spellEnd"/>
      <w:r w:rsidR="00A10E63" w:rsidRPr="004E3548">
        <w:rPr>
          <w:lang w:val="en-GB"/>
        </w:rPr>
        <w:t xml:space="preserve"> </w:t>
      </w:r>
      <w:proofErr w:type="spellStart"/>
      <w:r w:rsidR="00A10E63" w:rsidRPr="004E3548">
        <w:rPr>
          <w:lang w:val="en-GB"/>
        </w:rPr>
        <w:t>Pavić</w:t>
      </w:r>
      <w:proofErr w:type="spellEnd"/>
      <w:r w:rsidR="00A10E63" w:rsidRPr="00570D6A">
        <w:rPr>
          <w:lang w:val="en-GB"/>
        </w:rPr>
        <w:t xml:space="preserve"> </w:t>
      </w:r>
      <w:r w:rsidR="0022364D" w:rsidRPr="00570D6A">
        <w:rPr>
          <w:lang w:val="en-GB"/>
        </w:rPr>
        <w:t>disappeared in life threatening circumstances an</w:t>
      </w:r>
      <w:r w:rsidR="0022364D" w:rsidRPr="004E3548">
        <w:rPr>
          <w:lang w:val="en-GB"/>
        </w:rPr>
        <w:t>d</w:t>
      </w:r>
      <w:r w:rsidR="00A10E63" w:rsidRPr="004E3548">
        <w:rPr>
          <w:lang w:val="en-GB"/>
        </w:rPr>
        <w:t xml:space="preserve"> that, at the latest on 12</w:t>
      </w:r>
      <w:r w:rsidR="00F03599" w:rsidRPr="004E3548">
        <w:rPr>
          <w:lang w:val="en-GB"/>
        </w:rPr>
        <w:t xml:space="preserve"> </w:t>
      </w:r>
      <w:r w:rsidR="00A10E63" w:rsidRPr="004E3548">
        <w:rPr>
          <w:lang w:val="en-GB"/>
        </w:rPr>
        <w:t>October 2001</w:t>
      </w:r>
      <w:r w:rsidR="00F03599" w:rsidRPr="004E3548">
        <w:rPr>
          <w:lang w:val="en-GB"/>
        </w:rPr>
        <w:t>, UNMIK became aware of the matter</w:t>
      </w:r>
      <w:r w:rsidR="00084978" w:rsidRPr="004E3548">
        <w:rPr>
          <w:lang w:val="en-GB"/>
        </w:rPr>
        <w:t xml:space="preserve"> (see § </w:t>
      </w:r>
      <w:fldSimple w:instr=" REF _Ref354743973 \r \h  \* MERGEFORMAT ">
        <w:r w:rsidR="004E3548" w:rsidRPr="004E3548">
          <w:rPr>
            <w:lang w:val="en-GB"/>
          </w:rPr>
          <w:t>23</w:t>
        </w:r>
      </w:fldSimple>
      <w:r w:rsidR="004E3548" w:rsidRPr="004E3548">
        <w:rPr>
          <w:lang w:val="en-GB"/>
        </w:rPr>
        <w:t xml:space="preserve"> </w:t>
      </w:r>
      <w:r w:rsidR="00730D08" w:rsidRPr="004E3548">
        <w:rPr>
          <w:lang w:val="en-GB"/>
        </w:rPr>
        <w:t>above</w:t>
      </w:r>
      <w:r w:rsidR="00730D08" w:rsidRPr="00570D6A">
        <w:rPr>
          <w:lang w:val="en-GB"/>
        </w:rPr>
        <w:t>)</w:t>
      </w:r>
      <w:r w:rsidR="0022364D" w:rsidRPr="00570D6A">
        <w:rPr>
          <w:lang w:val="en-GB"/>
        </w:rPr>
        <w:t>.</w:t>
      </w:r>
    </w:p>
    <w:p w:rsidR="0022364D" w:rsidRPr="00A5537A" w:rsidRDefault="0022364D" w:rsidP="00EC64DD">
      <w:pPr>
        <w:tabs>
          <w:tab w:val="left" w:pos="360"/>
        </w:tabs>
        <w:suppressAutoHyphens/>
        <w:autoSpaceDE w:val="0"/>
        <w:ind w:left="360" w:hanging="360"/>
        <w:jc w:val="both"/>
        <w:rPr>
          <w:bCs/>
          <w:lang w:val="en-GB"/>
        </w:rPr>
      </w:pPr>
    </w:p>
    <w:p w:rsidR="002A59F7" w:rsidRPr="00A5537A" w:rsidRDefault="00F03599" w:rsidP="00EC64DD">
      <w:pPr>
        <w:numPr>
          <w:ilvl w:val="0"/>
          <w:numId w:val="5"/>
        </w:numPr>
        <w:tabs>
          <w:tab w:val="left" w:pos="360"/>
        </w:tabs>
        <w:suppressAutoHyphens/>
        <w:autoSpaceDE w:val="0"/>
        <w:ind w:left="360"/>
        <w:jc w:val="both"/>
        <w:rPr>
          <w:bCs/>
          <w:lang w:val="en-GB"/>
        </w:rPr>
      </w:pPr>
      <w:r w:rsidRPr="00A5537A">
        <w:rPr>
          <w:lang w:val="en-GB"/>
        </w:rPr>
        <w:t>Accordingly, a</w:t>
      </w:r>
      <w:r w:rsidR="002A59F7" w:rsidRPr="00A5537A">
        <w:rPr>
          <w:lang w:val="en-GB"/>
        </w:rPr>
        <w:t>pplying the principle</w:t>
      </w:r>
      <w:r w:rsidR="00A813B6" w:rsidRPr="00A5537A">
        <w:rPr>
          <w:lang w:val="en-GB"/>
        </w:rPr>
        <w:t>s discussed above</w:t>
      </w:r>
      <w:r w:rsidR="002A59F7" w:rsidRPr="00A5537A">
        <w:rPr>
          <w:lang w:val="en-GB"/>
        </w:rPr>
        <w:t xml:space="preserve"> (see </w:t>
      </w:r>
      <w:r w:rsidR="00FF43CB" w:rsidRPr="00A904C0">
        <w:rPr>
          <w:lang w:val="en-GB"/>
        </w:rPr>
        <w:t>§</w:t>
      </w:r>
      <w:r w:rsidR="002A59F7" w:rsidRPr="00A904C0">
        <w:rPr>
          <w:lang w:val="en-GB"/>
        </w:rPr>
        <w:t xml:space="preserve">§ </w:t>
      </w:r>
      <w:r w:rsidR="00BA25EA" w:rsidRPr="00A904C0">
        <w:t>5</w:t>
      </w:r>
      <w:r w:rsidR="00A904C0">
        <w:t>6</w:t>
      </w:r>
      <w:r w:rsidR="00187A9C" w:rsidRPr="00A904C0">
        <w:t>-</w:t>
      </w:r>
      <w:r w:rsidR="00BA25EA" w:rsidRPr="00A904C0">
        <w:t>5</w:t>
      </w:r>
      <w:r w:rsidR="00A904C0">
        <w:t>7</w:t>
      </w:r>
      <w:r w:rsidR="002A59F7" w:rsidRPr="00A904C0">
        <w:rPr>
          <w:lang w:val="en-GB"/>
        </w:rPr>
        <w:t>),</w:t>
      </w:r>
      <w:r w:rsidR="002A59F7" w:rsidRPr="00A5537A">
        <w:rPr>
          <w:lang w:val="en-GB"/>
        </w:rPr>
        <w:t xml:space="preserve"> </w:t>
      </w:r>
      <w:r w:rsidR="004F231E" w:rsidRPr="00A5537A">
        <w:rPr>
          <w:lang w:val="en-GB"/>
        </w:rPr>
        <w:t xml:space="preserve">the Panel considers that </w:t>
      </w:r>
      <w:r w:rsidR="007C62D8" w:rsidRPr="00A5537A">
        <w:rPr>
          <w:lang w:val="en-GB"/>
        </w:rPr>
        <w:t xml:space="preserve">the burden of proof </w:t>
      </w:r>
      <w:r w:rsidR="00A813B6" w:rsidRPr="00A5537A">
        <w:rPr>
          <w:lang w:val="en-GB"/>
        </w:rPr>
        <w:t xml:space="preserve">has </w:t>
      </w:r>
      <w:r w:rsidR="007C62D8" w:rsidRPr="00A5537A">
        <w:rPr>
          <w:lang w:val="en-GB"/>
        </w:rPr>
        <w:t>shifted to the respondent</w:t>
      </w:r>
      <w:r w:rsidRPr="00A5537A">
        <w:rPr>
          <w:lang w:val="en-GB"/>
        </w:rPr>
        <w:t>, so that</w:t>
      </w:r>
      <w:r w:rsidR="0022364D" w:rsidRPr="00A5537A">
        <w:rPr>
          <w:lang w:val="en-GB"/>
        </w:rPr>
        <w:t xml:space="preserve"> </w:t>
      </w:r>
      <w:r w:rsidR="007C62D8" w:rsidRPr="00A5537A">
        <w:rPr>
          <w:lang w:val="en-GB"/>
        </w:rPr>
        <w:t xml:space="preserve">it </w:t>
      </w:r>
      <w:r w:rsidR="00A813B6" w:rsidRPr="00A5537A">
        <w:rPr>
          <w:lang w:val="en-GB"/>
        </w:rPr>
        <w:t>i</w:t>
      </w:r>
      <w:r w:rsidR="007C62D8" w:rsidRPr="00A5537A">
        <w:rPr>
          <w:lang w:val="en-GB"/>
        </w:rPr>
        <w:t>s for UNMIK to present the Panel</w:t>
      </w:r>
      <w:r w:rsidR="004F231E" w:rsidRPr="00A5537A">
        <w:rPr>
          <w:lang w:val="en-GB"/>
        </w:rPr>
        <w:t xml:space="preserve"> with evidence of an adequate investigation as a defence </w:t>
      </w:r>
      <w:r w:rsidR="007C62D8" w:rsidRPr="00A5537A">
        <w:rPr>
          <w:lang w:val="en-GB"/>
        </w:rPr>
        <w:t>against the allegations put forward by the complainant</w:t>
      </w:r>
      <w:r w:rsidR="002A59F7" w:rsidRPr="00A5537A">
        <w:rPr>
          <w:lang w:val="en-GB"/>
        </w:rPr>
        <w:t xml:space="preserve"> and accepted by the Panel as </w:t>
      </w:r>
      <w:r w:rsidR="007C62D8" w:rsidRPr="00A5537A">
        <w:rPr>
          <w:lang w:val="en-GB"/>
        </w:rPr>
        <w:t>admissible.</w:t>
      </w:r>
      <w:r w:rsidR="003261AD" w:rsidRPr="00A5537A">
        <w:rPr>
          <w:lang w:val="en-GB"/>
        </w:rPr>
        <w:t xml:space="preserve"> UNMIK </w:t>
      </w:r>
      <w:r w:rsidR="00A813B6" w:rsidRPr="00A5537A">
        <w:rPr>
          <w:lang w:val="en-GB"/>
        </w:rPr>
        <w:t>has</w:t>
      </w:r>
      <w:r w:rsidR="002A59F7" w:rsidRPr="00A5537A">
        <w:rPr>
          <w:lang w:val="en-GB"/>
        </w:rPr>
        <w:t xml:space="preserve"> not </w:t>
      </w:r>
      <w:r w:rsidR="003261AD" w:rsidRPr="00A5537A">
        <w:rPr>
          <w:lang w:val="en-GB"/>
        </w:rPr>
        <w:t>discharge</w:t>
      </w:r>
      <w:r w:rsidR="00A813B6" w:rsidRPr="00A5537A">
        <w:rPr>
          <w:lang w:val="en-GB"/>
        </w:rPr>
        <w:t xml:space="preserve">d </w:t>
      </w:r>
      <w:r w:rsidR="003261AD" w:rsidRPr="00A5537A">
        <w:rPr>
          <w:lang w:val="en-GB"/>
        </w:rPr>
        <w:t>its obligation in this regard</w:t>
      </w:r>
      <w:r w:rsidR="00454AA4" w:rsidRPr="00A5537A">
        <w:rPr>
          <w:lang w:val="en-GB"/>
        </w:rPr>
        <w:t>, as it</w:t>
      </w:r>
      <w:r w:rsidR="003261AD" w:rsidRPr="00A5537A">
        <w:rPr>
          <w:lang w:val="en-GB"/>
        </w:rPr>
        <w:t xml:space="preserve"> </w:t>
      </w:r>
      <w:r w:rsidR="00A813B6" w:rsidRPr="00A5537A">
        <w:rPr>
          <w:lang w:val="en-GB"/>
        </w:rPr>
        <w:t xml:space="preserve">has </w:t>
      </w:r>
      <w:r w:rsidR="003261AD" w:rsidRPr="00A5537A">
        <w:rPr>
          <w:lang w:val="en-GB"/>
        </w:rPr>
        <w:t xml:space="preserve">neither </w:t>
      </w:r>
      <w:r w:rsidR="002A59F7" w:rsidRPr="00A5537A">
        <w:rPr>
          <w:color w:val="000000"/>
          <w:lang w:val="en-GB"/>
        </w:rPr>
        <w:t>present</w:t>
      </w:r>
      <w:r w:rsidR="00454AA4" w:rsidRPr="00A5537A">
        <w:rPr>
          <w:color w:val="000000"/>
          <w:lang w:val="en-GB"/>
        </w:rPr>
        <w:t>ed</w:t>
      </w:r>
      <w:r w:rsidR="002A59F7" w:rsidRPr="00A5537A">
        <w:rPr>
          <w:color w:val="000000"/>
          <w:lang w:val="en-GB"/>
        </w:rPr>
        <w:t xml:space="preserve"> </w:t>
      </w:r>
      <w:r w:rsidR="00A813B6" w:rsidRPr="00A5537A">
        <w:rPr>
          <w:color w:val="000000"/>
          <w:lang w:val="en-GB"/>
        </w:rPr>
        <w:t>an</w:t>
      </w:r>
      <w:r w:rsidR="00DB2E6D" w:rsidRPr="00A5537A">
        <w:rPr>
          <w:color w:val="000000"/>
          <w:lang w:val="en-GB"/>
        </w:rPr>
        <w:t>y</w:t>
      </w:r>
      <w:r w:rsidR="003261AD" w:rsidRPr="00A5537A">
        <w:rPr>
          <w:color w:val="000000"/>
          <w:lang w:val="en-GB"/>
        </w:rPr>
        <w:t xml:space="preserve"> investigati</w:t>
      </w:r>
      <w:r w:rsidR="00DB2E6D" w:rsidRPr="00A5537A">
        <w:rPr>
          <w:color w:val="000000"/>
          <w:lang w:val="en-GB"/>
        </w:rPr>
        <w:t>ve</w:t>
      </w:r>
      <w:r w:rsidR="003261AD" w:rsidRPr="00A5537A">
        <w:rPr>
          <w:color w:val="000000"/>
          <w:lang w:val="en-GB"/>
        </w:rPr>
        <w:t xml:space="preserve"> file, nor</w:t>
      </w:r>
      <w:r w:rsidR="003261AD" w:rsidRPr="00A5537A">
        <w:rPr>
          <w:lang w:val="en-GB"/>
        </w:rPr>
        <w:t xml:space="preserve"> </w:t>
      </w:r>
      <w:r w:rsidR="00A813B6" w:rsidRPr="00A5537A">
        <w:rPr>
          <w:lang w:val="en-GB"/>
        </w:rPr>
        <w:t xml:space="preserve">has </w:t>
      </w:r>
      <w:r w:rsidR="00454AA4" w:rsidRPr="00A5537A">
        <w:rPr>
          <w:lang w:val="en-GB"/>
        </w:rPr>
        <w:t xml:space="preserve">it </w:t>
      </w:r>
      <w:r w:rsidR="003261AD" w:rsidRPr="00A5537A">
        <w:rPr>
          <w:lang w:val="en-GB"/>
        </w:rPr>
        <w:t>in a “</w:t>
      </w:r>
      <w:r w:rsidR="003261AD" w:rsidRPr="00A5537A">
        <w:t>satisfactory and convincing” way e</w:t>
      </w:r>
      <w:r w:rsidR="002A59F7" w:rsidRPr="00A5537A">
        <w:t>xplain</w:t>
      </w:r>
      <w:r w:rsidR="00A813B6" w:rsidRPr="00A5537A">
        <w:t>ed</w:t>
      </w:r>
      <w:r w:rsidR="002A59F7" w:rsidRPr="00A5537A">
        <w:t xml:space="preserve"> its failure to do so.</w:t>
      </w:r>
      <w:r w:rsidR="001E4540" w:rsidRPr="00A5537A">
        <w:t xml:space="preserve"> Accordingly, the Panel will draw inferences from this situation.</w:t>
      </w:r>
    </w:p>
    <w:p w:rsidR="002A59F7" w:rsidRPr="00A5537A" w:rsidRDefault="002A59F7" w:rsidP="00EC64DD">
      <w:pPr>
        <w:tabs>
          <w:tab w:val="left" w:pos="360"/>
        </w:tabs>
        <w:ind w:left="360" w:hanging="360"/>
      </w:pPr>
    </w:p>
    <w:p w:rsidR="002A59F7" w:rsidRPr="00A5537A" w:rsidRDefault="00F03599" w:rsidP="00EC64DD">
      <w:pPr>
        <w:numPr>
          <w:ilvl w:val="0"/>
          <w:numId w:val="5"/>
        </w:numPr>
        <w:tabs>
          <w:tab w:val="left" w:pos="360"/>
        </w:tabs>
        <w:ind w:left="360"/>
        <w:jc w:val="both"/>
      </w:pPr>
      <w:r w:rsidRPr="00A5537A">
        <w:t>T</w:t>
      </w:r>
      <w:r w:rsidR="002A59F7" w:rsidRPr="00A5537A">
        <w:t xml:space="preserve">he Panel notes that </w:t>
      </w:r>
      <w:r w:rsidR="00B04854" w:rsidRPr="00A5537A">
        <w:t>according to the 2000 Annual Report</w:t>
      </w:r>
      <w:r w:rsidR="001E4540" w:rsidRPr="00A5537A">
        <w:t xml:space="preserve"> of UNMIK Police</w:t>
      </w:r>
      <w:r w:rsidR="007E039C" w:rsidRPr="00A5537A">
        <w:t>,</w:t>
      </w:r>
      <w:r w:rsidR="001E4540" w:rsidRPr="00A5537A">
        <w:t xml:space="preserve"> at least from </w:t>
      </w:r>
      <w:r w:rsidR="00B04854" w:rsidRPr="00A5537A">
        <w:t>mid-September 1999</w:t>
      </w:r>
      <w:r w:rsidR="00473F9B" w:rsidRPr="00A5537A">
        <w:t xml:space="preserve"> </w:t>
      </w:r>
      <w:r w:rsidR="002A59F7" w:rsidRPr="00A5537A">
        <w:t xml:space="preserve">the whole system of </w:t>
      </w:r>
      <w:r w:rsidR="00BD0E45" w:rsidRPr="00A5537A">
        <w:t>criminal investigation</w:t>
      </w:r>
      <w:r w:rsidR="002A59F7" w:rsidRPr="00A5537A">
        <w:t xml:space="preserve"> </w:t>
      </w:r>
      <w:r w:rsidR="00A813B6" w:rsidRPr="00A5537A">
        <w:t>in</w:t>
      </w:r>
      <w:r w:rsidR="001E4540" w:rsidRPr="00A5537A">
        <w:t xml:space="preserve"> </w:t>
      </w:r>
      <w:proofErr w:type="spellStart"/>
      <w:r w:rsidR="001E4540" w:rsidRPr="00A5537A">
        <w:t>Prishtinë</w:t>
      </w:r>
      <w:proofErr w:type="spellEnd"/>
      <w:r w:rsidR="001E4540" w:rsidRPr="00A5537A">
        <w:t>/</w:t>
      </w:r>
      <w:proofErr w:type="spellStart"/>
      <w:r w:rsidR="001E4540" w:rsidRPr="00A5537A">
        <w:t>Priŝtina</w:t>
      </w:r>
      <w:proofErr w:type="spellEnd"/>
      <w:r w:rsidR="001E4540" w:rsidRPr="00A5537A">
        <w:t xml:space="preserve"> region</w:t>
      </w:r>
      <w:r w:rsidR="00A813B6" w:rsidRPr="00A5537A">
        <w:t xml:space="preserve"> </w:t>
      </w:r>
      <w:r w:rsidR="002A59F7" w:rsidRPr="00A5537A">
        <w:t xml:space="preserve">was under </w:t>
      </w:r>
      <w:r w:rsidR="00E50312" w:rsidRPr="00A5537A">
        <w:t xml:space="preserve">the </w:t>
      </w:r>
      <w:r w:rsidR="002A59F7" w:rsidRPr="00A5537A">
        <w:t>full control of UNMIK</w:t>
      </w:r>
      <w:r w:rsidR="00B029B6" w:rsidRPr="00A5537A">
        <w:t xml:space="preserve">. Therefore, </w:t>
      </w:r>
      <w:r w:rsidR="002A59F7" w:rsidRPr="00A5537A">
        <w:t xml:space="preserve">it </w:t>
      </w:r>
      <w:r w:rsidR="00E50312" w:rsidRPr="00A5537A">
        <w:t xml:space="preserve">was </w:t>
      </w:r>
      <w:r w:rsidR="002A59F7" w:rsidRPr="00A5537A">
        <w:t xml:space="preserve">UNMIK’s responsibility to ensure, </w:t>
      </w:r>
      <w:r w:rsidR="002A59F7" w:rsidRPr="00A5537A">
        <w:rPr>
          <w:i/>
        </w:rPr>
        <w:t>first</w:t>
      </w:r>
      <w:r w:rsidR="002A59F7" w:rsidRPr="00A5537A">
        <w:t xml:space="preserve">, that the investigation is conducted </w:t>
      </w:r>
      <w:r w:rsidR="009404D0" w:rsidRPr="00A5537A">
        <w:t xml:space="preserve">expeditiously </w:t>
      </w:r>
      <w:r w:rsidR="002A59F7" w:rsidRPr="00A5537A">
        <w:t xml:space="preserve">and efficiently; </w:t>
      </w:r>
      <w:r w:rsidR="002A59F7" w:rsidRPr="00A5537A">
        <w:rPr>
          <w:i/>
        </w:rPr>
        <w:t>second</w:t>
      </w:r>
      <w:r w:rsidR="002A59F7" w:rsidRPr="00A5537A">
        <w:t xml:space="preserve">, that all relevant </w:t>
      </w:r>
      <w:r w:rsidR="00B867ED" w:rsidRPr="00A5537A">
        <w:t xml:space="preserve">investigative </w:t>
      </w:r>
      <w:r w:rsidR="002A59F7" w:rsidRPr="00A5537A">
        <w:t xml:space="preserve">material is properly handed over to the authority taking over  responsibility </w:t>
      </w:r>
      <w:r w:rsidR="00E50312" w:rsidRPr="00A5537A">
        <w:t>for investigation</w:t>
      </w:r>
      <w:r w:rsidR="002A59F7" w:rsidRPr="00A5537A">
        <w:t xml:space="preserve"> (EULEX</w:t>
      </w:r>
      <w:r w:rsidR="00B029B6" w:rsidRPr="00A5537A">
        <w:t xml:space="preserve">, </w:t>
      </w:r>
      <w:r w:rsidR="00B029B6" w:rsidRPr="00A904C0">
        <w:t xml:space="preserve">see § </w:t>
      </w:r>
      <w:fldSimple w:instr=" REF _Ref346123927 \r \h  \* MERGEFORMAT ">
        <w:r w:rsidR="00A904C0" w:rsidRPr="00A904C0">
          <w:t>19</w:t>
        </w:r>
      </w:fldSimple>
      <w:r w:rsidR="00B029B6" w:rsidRPr="00A5537A">
        <w:t xml:space="preserve"> above</w:t>
      </w:r>
      <w:r w:rsidR="002A59F7" w:rsidRPr="00A5537A">
        <w:t xml:space="preserve">); and </w:t>
      </w:r>
      <w:r w:rsidR="002A59F7" w:rsidRPr="00A5537A">
        <w:rPr>
          <w:i/>
        </w:rPr>
        <w:t>third</w:t>
      </w:r>
      <w:r w:rsidR="002A59F7" w:rsidRPr="00A5537A">
        <w:t xml:space="preserve">, that the </w:t>
      </w:r>
      <w:r w:rsidR="00B867ED" w:rsidRPr="00A5537A">
        <w:t xml:space="preserve">investigative </w:t>
      </w:r>
      <w:r w:rsidR="002A59F7" w:rsidRPr="00A5537A">
        <w:t>files could be traced and retrieved, should a need  arise at any later stage.</w:t>
      </w:r>
    </w:p>
    <w:p w:rsidR="00C2799A" w:rsidRPr="00A5537A" w:rsidRDefault="00C2799A" w:rsidP="00EC64DD">
      <w:pPr>
        <w:pStyle w:val="ListParagraph"/>
        <w:tabs>
          <w:tab w:val="left" w:pos="360"/>
        </w:tabs>
        <w:ind w:left="360" w:hanging="360"/>
      </w:pPr>
    </w:p>
    <w:p w:rsidR="002A59F7" w:rsidRPr="00A5537A" w:rsidRDefault="00B06BDD" w:rsidP="00EC64DD">
      <w:pPr>
        <w:numPr>
          <w:ilvl w:val="0"/>
          <w:numId w:val="5"/>
        </w:numPr>
        <w:tabs>
          <w:tab w:val="left" w:pos="360"/>
        </w:tabs>
        <w:ind w:left="360"/>
        <w:jc w:val="both"/>
      </w:pPr>
      <w:r w:rsidRPr="00A5537A">
        <w:t>The Panel infers</w:t>
      </w:r>
      <w:r w:rsidR="002A59F7" w:rsidRPr="00A5537A">
        <w:t xml:space="preserve"> </w:t>
      </w:r>
      <w:r w:rsidRPr="00A5537A">
        <w:t>from</w:t>
      </w:r>
      <w:r w:rsidR="002A59F7" w:rsidRPr="00A5537A">
        <w:t xml:space="preserve"> the absence of</w:t>
      </w:r>
      <w:r w:rsidR="00454AA4" w:rsidRPr="00A5537A">
        <w:t xml:space="preserve"> any </w:t>
      </w:r>
      <w:r w:rsidRPr="00A5537A">
        <w:t>investigative</w:t>
      </w:r>
      <w:r w:rsidR="002A59F7" w:rsidRPr="00A5537A">
        <w:t xml:space="preserve"> file </w:t>
      </w:r>
      <w:r w:rsidRPr="00A5537A">
        <w:t xml:space="preserve">that one </w:t>
      </w:r>
      <w:r w:rsidR="002A59F7" w:rsidRPr="00A5537A">
        <w:t>of the following situations</w:t>
      </w:r>
      <w:r w:rsidRPr="00A5537A">
        <w:t xml:space="preserve"> </w:t>
      </w:r>
      <w:r w:rsidR="00B029B6" w:rsidRPr="00A5537A">
        <w:t>o</w:t>
      </w:r>
      <w:r w:rsidRPr="00A5537A">
        <w:t>ccurred</w:t>
      </w:r>
      <w:r w:rsidR="002A59F7" w:rsidRPr="00A5537A">
        <w:t>:</w:t>
      </w:r>
      <w:r w:rsidRPr="00A5537A">
        <w:t xml:space="preserve"> </w:t>
      </w:r>
      <w:r w:rsidR="002A59F7" w:rsidRPr="00A5537A">
        <w:t>no investigation was carried out;</w:t>
      </w:r>
      <w:r w:rsidRPr="00A5537A">
        <w:t xml:space="preserve"> UNMIK</w:t>
      </w:r>
      <w:r w:rsidR="002A59F7" w:rsidRPr="00A5537A">
        <w:t xml:space="preserve"> deliberately opted not to present the file to the Panel, despite its obligation to </w:t>
      </w:r>
      <w:r w:rsidR="002A59F7" w:rsidRPr="00A5537A">
        <w:rPr>
          <w:color w:val="000000"/>
        </w:rPr>
        <w:t xml:space="preserve">cooperate with the Panel and </w:t>
      </w:r>
      <w:r w:rsidR="00A813B6" w:rsidRPr="00A5537A">
        <w:rPr>
          <w:color w:val="000000"/>
        </w:rPr>
        <w:t xml:space="preserve">to </w:t>
      </w:r>
      <w:r w:rsidR="002A59F7" w:rsidRPr="00A5537A">
        <w:rPr>
          <w:color w:val="000000"/>
        </w:rPr>
        <w:t xml:space="preserve">provide it with the necessary assistance, including the release of documents relevant </w:t>
      </w:r>
      <w:r w:rsidR="002A59F7" w:rsidRPr="00570D6A">
        <w:rPr>
          <w:color w:val="000000"/>
        </w:rPr>
        <w:t xml:space="preserve">to the complaints </w:t>
      </w:r>
      <w:r w:rsidR="002A59F7" w:rsidRPr="00570D6A">
        <w:t>under</w:t>
      </w:r>
      <w:r w:rsidR="002A59F7" w:rsidRPr="00570D6A">
        <w:rPr>
          <w:color w:val="000000"/>
        </w:rPr>
        <w:t xml:space="preserve"> Section 15 of UNMIK Regulation No. 2006/12</w:t>
      </w:r>
      <w:r w:rsidR="00B029B6" w:rsidRPr="00570D6A">
        <w:rPr>
          <w:color w:val="000000"/>
        </w:rPr>
        <w:t xml:space="preserve"> </w:t>
      </w:r>
      <w:r w:rsidR="002A2F09" w:rsidRPr="00570D6A">
        <w:rPr>
          <w:color w:val="000000"/>
        </w:rPr>
        <w:t>(</w:t>
      </w:r>
      <w:r w:rsidR="00B029B6" w:rsidRPr="00570D6A">
        <w:rPr>
          <w:color w:val="000000"/>
        </w:rPr>
        <w:t xml:space="preserve">cited in </w:t>
      </w:r>
      <w:r w:rsidR="00570D6A" w:rsidRPr="00A904C0">
        <w:rPr>
          <w:color w:val="000000"/>
        </w:rPr>
        <w:t xml:space="preserve">§ </w:t>
      </w:r>
      <w:fldSimple w:instr=" REF _Ref353797805 \r \h  \* MERGEFORMAT ">
        <w:r w:rsidR="00A904C0" w:rsidRPr="00A904C0">
          <w:rPr>
            <w:color w:val="000000"/>
          </w:rPr>
          <w:t>53</w:t>
        </w:r>
      </w:fldSimple>
      <w:r w:rsidR="00B029B6" w:rsidRPr="00A5537A">
        <w:rPr>
          <w:color w:val="000000"/>
        </w:rPr>
        <w:t xml:space="preserve"> above)</w:t>
      </w:r>
      <w:r w:rsidR="002A59F7" w:rsidRPr="00A5537A">
        <w:rPr>
          <w:color w:val="000000"/>
        </w:rPr>
        <w:t>;</w:t>
      </w:r>
      <w:r w:rsidRPr="00A5537A">
        <w:rPr>
          <w:color w:val="000000"/>
        </w:rPr>
        <w:t xml:space="preserve"> </w:t>
      </w:r>
      <w:r w:rsidR="002A59F7" w:rsidRPr="00A5537A">
        <w:rPr>
          <w:color w:val="000000"/>
        </w:rPr>
        <w:t xml:space="preserve">the file was not properly handed over to </w:t>
      </w:r>
      <w:r w:rsidR="00CB7C72" w:rsidRPr="00A5537A">
        <w:rPr>
          <w:color w:val="000000"/>
        </w:rPr>
        <w:t>EULEX</w:t>
      </w:r>
      <w:r w:rsidR="002A59F7" w:rsidRPr="00A5537A">
        <w:rPr>
          <w:color w:val="000000"/>
        </w:rPr>
        <w:t>;</w:t>
      </w:r>
      <w:r w:rsidR="00B029B6" w:rsidRPr="00A5537A">
        <w:rPr>
          <w:color w:val="000000"/>
        </w:rPr>
        <w:t xml:space="preserve"> or</w:t>
      </w:r>
      <w:r w:rsidR="002A2F09" w:rsidRPr="00A5537A">
        <w:rPr>
          <w:color w:val="000000"/>
        </w:rPr>
        <w:t xml:space="preserve"> UNMIK failed to retrieve the file from the </w:t>
      </w:r>
      <w:r w:rsidR="00DB2E6D" w:rsidRPr="00A5537A">
        <w:rPr>
          <w:color w:val="000000"/>
        </w:rPr>
        <w:t xml:space="preserve">current </w:t>
      </w:r>
      <w:r w:rsidR="002A2F09" w:rsidRPr="00A5537A">
        <w:rPr>
          <w:color w:val="000000"/>
        </w:rPr>
        <w:t>custodian.</w:t>
      </w:r>
    </w:p>
    <w:p w:rsidR="002A2F09" w:rsidRPr="00A5537A" w:rsidRDefault="002A2F09" w:rsidP="00EC64DD">
      <w:pPr>
        <w:tabs>
          <w:tab w:val="left" w:pos="360"/>
        </w:tabs>
        <w:ind w:left="360" w:hanging="360"/>
        <w:jc w:val="both"/>
      </w:pPr>
    </w:p>
    <w:p w:rsidR="007F6026" w:rsidRPr="00A5537A" w:rsidRDefault="00D44B15" w:rsidP="00EC64DD">
      <w:pPr>
        <w:numPr>
          <w:ilvl w:val="0"/>
          <w:numId w:val="5"/>
        </w:numPr>
        <w:tabs>
          <w:tab w:val="left" w:pos="360"/>
        </w:tabs>
        <w:ind w:left="360"/>
        <w:jc w:val="both"/>
      </w:pPr>
      <w:r w:rsidRPr="00A5537A">
        <w:t xml:space="preserve">The Panel </w:t>
      </w:r>
      <w:r w:rsidR="00454AA4" w:rsidRPr="00A5537A">
        <w:t xml:space="preserve">has </w:t>
      </w:r>
      <w:r w:rsidRPr="00A5537A">
        <w:t>already note</w:t>
      </w:r>
      <w:r w:rsidR="00454AA4" w:rsidRPr="00A5537A">
        <w:t>d above that it has no reason t</w:t>
      </w:r>
      <w:r w:rsidRPr="00A5537A">
        <w:t xml:space="preserve">o doubt UNMIK’s good faith in </w:t>
      </w:r>
      <w:r w:rsidR="00FE24B3" w:rsidRPr="00A5537A">
        <w:t>seeking to provide</w:t>
      </w:r>
      <w:r w:rsidRPr="00A5537A">
        <w:t xml:space="preserve"> the </w:t>
      </w:r>
      <w:r w:rsidR="00B867ED" w:rsidRPr="00A5537A">
        <w:t xml:space="preserve">investigative </w:t>
      </w:r>
      <w:r w:rsidRPr="00A5537A">
        <w:t xml:space="preserve">file for the Panel’s review. However, </w:t>
      </w:r>
      <w:r w:rsidR="00454AA4" w:rsidRPr="00A5537A">
        <w:t xml:space="preserve">the </w:t>
      </w:r>
      <w:r w:rsidR="00CB7C72" w:rsidRPr="00A5537A">
        <w:t xml:space="preserve">Panel considers that </w:t>
      </w:r>
      <w:r w:rsidR="00FE24B3" w:rsidRPr="00A5537A">
        <w:t xml:space="preserve">whichever of these </w:t>
      </w:r>
      <w:r w:rsidR="00CB7C72" w:rsidRPr="00A5537A">
        <w:t>potential</w:t>
      </w:r>
      <w:r w:rsidR="00DC45A3" w:rsidRPr="00A5537A">
        <w:t xml:space="preserve"> </w:t>
      </w:r>
      <w:r w:rsidR="00CB7C72" w:rsidRPr="00A5537A">
        <w:t xml:space="preserve">explanations </w:t>
      </w:r>
      <w:r w:rsidR="00FE24B3" w:rsidRPr="00A5537A">
        <w:t>is applicable, it indicates a</w:t>
      </w:r>
      <w:r w:rsidR="00CB7C72" w:rsidRPr="00A5537A">
        <w:t xml:space="preserve"> failure</w:t>
      </w:r>
      <w:r w:rsidR="00B06BDD" w:rsidRPr="00A5537A">
        <w:t>,</w:t>
      </w:r>
      <w:r w:rsidR="00FE24B3" w:rsidRPr="00A5537A">
        <w:t xml:space="preserve"> which is </w:t>
      </w:r>
      <w:r w:rsidR="00AA5505" w:rsidRPr="00A5537A">
        <w:t>d</w:t>
      </w:r>
      <w:r w:rsidR="00CB7C72" w:rsidRPr="00A5537A">
        <w:t>irectly attribut</w:t>
      </w:r>
      <w:r w:rsidRPr="00A5537A">
        <w:t>able</w:t>
      </w:r>
      <w:r w:rsidR="00CB7C72" w:rsidRPr="00A5537A">
        <w:t xml:space="preserve"> to UNMIK, either when it was exercising its executive functions, or in its current capacity.</w:t>
      </w:r>
    </w:p>
    <w:p w:rsidR="007F6026" w:rsidRPr="00A5537A" w:rsidRDefault="007F6026" w:rsidP="00EC64DD">
      <w:pPr>
        <w:pStyle w:val="ListParagraph"/>
        <w:tabs>
          <w:tab w:val="left" w:pos="360"/>
        </w:tabs>
        <w:ind w:left="360" w:hanging="360"/>
        <w:rPr>
          <w:bCs/>
          <w:lang w:val="en-GB"/>
        </w:rPr>
      </w:pPr>
    </w:p>
    <w:p w:rsidR="007F6026" w:rsidRPr="00A5537A" w:rsidRDefault="00B53054" w:rsidP="00EC64DD">
      <w:pPr>
        <w:numPr>
          <w:ilvl w:val="0"/>
          <w:numId w:val="5"/>
        </w:numPr>
        <w:tabs>
          <w:tab w:val="left" w:pos="360"/>
        </w:tabs>
        <w:ind w:left="360"/>
        <w:jc w:val="both"/>
      </w:pPr>
      <w:r w:rsidRPr="00A5537A">
        <w:rPr>
          <w:bCs/>
          <w:lang w:val="en-GB"/>
        </w:rPr>
        <w:t xml:space="preserve">Examining the particulars of this case, </w:t>
      </w:r>
      <w:r w:rsidR="00F03599" w:rsidRPr="00A5537A">
        <w:rPr>
          <w:bCs/>
          <w:lang w:val="en-GB"/>
        </w:rPr>
        <w:t xml:space="preserve">the Panel notes that </w:t>
      </w:r>
      <w:r w:rsidR="00473F9B" w:rsidRPr="00A5537A">
        <w:rPr>
          <w:bCs/>
          <w:lang w:val="en-GB"/>
        </w:rPr>
        <w:t xml:space="preserve">there </w:t>
      </w:r>
      <w:r w:rsidR="00F03599" w:rsidRPr="00A5537A">
        <w:t>were obvious shortcomings in the conduct of the i</w:t>
      </w:r>
      <w:r w:rsidR="002A2F09" w:rsidRPr="00A5537A">
        <w:t xml:space="preserve">nvestigation from its inception, having in </w:t>
      </w:r>
      <w:proofErr w:type="gramStart"/>
      <w:r w:rsidR="002A2F09" w:rsidRPr="00A5537A">
        <w:t>mind</w:t>
      </w:r>
      <w:proofErr w:type="gramEnd"/>
      <w:r w:rsidR="002A2F09" w:rsidRPr="00A5537A">
        <w:t xml:space="preserve"> that</w:t>
      </w:r>
      <w:r w:rsidR="00F03599" w:rsidRPr="00A5537A">
        <w:t xml:space="preserve"> </w:t>
      </w:r>
      <w:r w:rsidR="00BA4103" w:rsidRPr="00A5537A">
        <w:rPr>
          <w:bCs/>
          <w:lang w:val="en-GB"/>
        </w:rPr>
        <w:t>that the initial stage of the investigat</w:t>
      </w:r>
      <w:r w:rsidR="002A2F09" w:rsidRPr="00A5537A">
        <w:rPr>
          <w:bCs/>
          <w:lang w:val="en-GB"/>
        </w:rPr>
        <w:t>ion is of the utmost importance</w:t>
      </w:r>
      <w:r w:rsidR="00BA4103" w:rsidRPr="00A5537A">
        <w:rPr>
          <w:bCs/>
          <w:lang w:val="en-GB"/>
        </w:rPr>
        <w:t>.</w:t>
      </w:r>
      <w:r w:rsidR="009C5037">
        <w:rPr>
          <w:bCs/>
          <w:lang w:val="en-GB"/>
        </w:rPr>
        <w:t xml:space="preserve"> </w:t>
      </w:r>
      <w:r w:rsidR="007F6026" w:rsidRPr="00A5537A">
        <w:t xml:space="preserve">However, in </w:t>
      </w:r>
      <w:r w:rsidR="007F6026" w:rsidRPr="00A5537A">
        <w:rPr>
          <w:color w:val="000000"/>
        </w:rPr>
        <w:t>light of the considerations developed above concerning its limited temporal jurisdiction (see §</w:t>
      </w:r>
      <w:r w:rsidR="00570D6A">
        <w:rPr>
          <w:color w:val="000000"/>
        </w:rPr>
        <w:t xml:space="preserve"> </w:t>
      </w:r>
      <w:r w:rsidR="00570D6A">
        <w:t>39 above</w:t>
      </w:r>
      <w:r w:rsidR="007F6026" w:rsidRPr="00A5537A">
        <w:rPr>
          <w:color w:val="000000"/>
        </w:rPr>
        <w:t xml:space="preserve">), the Panel recalls that it is competent </w:t>
      </w:r>
      <w:proofErr w:type="spellStart"/>
      <w:r w:rsidR="007F6026" w:rsidRPr="00A5537A">
        <w:rPr>
          <w:i/>
          <w:color w:val="000000"/>
        </w:rPr>
        <w:t>ratione</w:t>
      </w:r>
      <w:proofErr w:type="spellEnd"/>
      <w:r w:rsidR="007F6026" w:rsidRPr="00A5537A">
        <w:rPr>
          <w:i/>
          <w:color w:val="000000"/>
        </w:rPr>
        <w:t xml:space="preserve"> </w:t>
      </w:r>
      <w:proofErr w:type="spellStart"/>
      <w:r w:rsidR="007F6026" w:rsidRPr="00A5537A">
        <w:rPr>
          <w:i/>
          <w:color w:val="000000"/>
        </w:rPr>
        <w:t>temporis</w:t>
      </w:r>
      <w:proofErr w:type="spellEnd"/>
      <w:r w:rsidR="007F6026" w:rsidRPr="00A5537A">
        <w:rPr>
          <w:color w:val="000000"/>
        </w:rPr>
        <w:t xml:space="preserve"> to evaluate the compliance of the investigation with Article 2 of the ECHR only for the period after 23 April 2005, </w:t>
      </w:r>
      <w:r w:rsidR="007F6026" w:rsidRPr="00A5537A">
        <w:t>while taking into consideration the state of the case at that date (</w:t>
      </w:r>
      <w:proofErr w:type="spellStart"/>
      <w:r w:rsidR="007F6026" w:rsidRPr="00A5537A">
        <w:t>ECtHR</w:t>
      </w:r>
      <w:proofErr w:type="spellEnd"/>
      <w:r w:rsidR="007F6026" w:rsidRPr="00A5537A">
        <w:t xml:space="preserve">, </w:t>
      </w:r>
      <w:proofErr w:type="spellStart"/>
      <w:r w:rsidR="007F6026" w:rsidRPr="00A5537A">
        <w:rPr>
          <w:i/>
        </w:rPr>
        <w:t>Palić</w:t>
      </w:r>
      <w:proofErr w:type="spellEnd"/>
      <w:r w:rsidR="007F6026" w:rsidRPr="00A5537A">
        <w:rPr>
          <w:i/>
        </w:rPr>
        <w:t xml:space="preserve"> v. Bosnia and Herzegovina</w:t>
      </w:r>
      <w:r w:rsidR="007F6026" w:rsidRPr="00A5537A">
        <w:t xml:space="preserve">, cited </w:t>
      </w:r>
      <w:r w:rsidR="00473F9B" w:rsidRPr="00A5537A">
        <w:t xml:space="preserve">in </w:t>
      </w:r>
      <w:r w:rsidR="007F6026" w:rsidRPr="00A5537A">
        <w:t xml:space="preserve">§ </w:t>
      </w:r>
      <w:fldSimple w:instr=" REF _Ref346724174 \r \h  \* MERGEFORMAT ">
        <w:r w:rsidR="00A904C0">
          <w:t>64</w:t>
        </w:r>
      </w:fldSimple>
      <w:r w:rsidR="00473F9B" w:rsidRPr="00A5537A">
        <w:t xml:space="preserve"> </w:t>
      </w:r>
      <w:r w:rsidR="007F6026" w:rsidRPr="00A5537A">
        <w:t>above</w:t>
      </w:r>
      <w:r w:rsidR="00473F9B" w:rsidRPr="00A5537A">
        <w:t>, at</w:t>
      </w:r>
      <w:r w:rsidR="007F6026" w:rsidRPr="00A5537A">
        <w:t xml:space="preserve"> § 70)</w:t>
      </w:r>
      <w:r w:rsidR="007F6026" w:rsidRPr="00A5537A">
        <w:rPr>
          <w:color w:val="000000"/>
        </w:rPr>
        <w:t xml:space="preserve">. The period under review ends on 9 December 2008, with EULEX taking over responsibility in the area of administration of justice (see § </w:t>
      </w:r>
      <w:r w:rsidR="00A904C0">
        <w:fldChar w:fldCharType="begin"/>
      </w:r>
      <w:r w:rsidR="00A904C0">
        <w:rPr>
          <w:color w:val="000000"/>
        </w:rPr>
        <w:instrText xml:space="preserve"> REF _Ref346123927 \r \h </w:instrText>
      </w:r>
      <w:r w:rsidR="00A904C0">
        <w:fldChar w:fldCharType="separate"/>
      </w:r>
      <w:r w:rsidR="00A904C0">
        <w:rPr>
          <w:color w:val="000000"/>
        </w:rPr>
        <w:t>19</w:t>
      </w:r>
      <w:r w:rsidR="00A904C0">
        <w:fldChar w:fldCharType="end"/>
      </w:r>
      <w:r w:rsidR="00A904C0">
        <w:t xml:space="preserve"> </w:t>
      </w:r>
      <w:r w:rsidR="007F6026" w:rsidRPr="00A5537A">
        <w:rPr>
          <w:color w:val="000000"/>
        </w:rPr>
        <w:t xml:space="preserve">above). </w:t>
      </w:r>
    </w:p>
    <w:p w:rsidR="007F6026" w:rsidRPr="00A5537A" w:rsidRDefault="007F6026" w:rsidP="00EC64DD">
      <w:pPr>
        <w:tabs>
          <w:tab w:val="left" w:pos="360"/>
        </w:tabs>
        <w:ind w:left="360" w:hanging="360"/>
      </w:pPr>
    </w:p>
    <w:p w:rsidR="00D94FD5" w:rsidRPr="00570D6A" w:rsidRDefault="007F6026" w:rsidP="00EC64DD">
      <w:pPr>
        <w:numPr>
          <w:ilvl w:val="0"/>
          <w:numId w:val="5"/>
        </w:numPr>
        <w:tabs>
          <w:tab w:val="left" w:pos="360"/>
        </w:tabs>
        <w:ind w:left="360"/>
        <w:jc w:val="both"/>
      </w:pPr>
      <w:r w:rsidRPr="00570D6A">
        <w:t xml:space="preserve">The Panel notes that from the moment UNMIK became aware of the matter until 23 April 2005, the only actions undertaken by UNMIK relate to the exhumation, identification and handing over of </w:t>
      </w:r>
      <w:proofErr w:type="spellStart"/>
      <w:r w:rsidR="00084978" w:rsidRPr="007F4E6B">
        <w:rPr>
          <w:lang w:val="en-GB"/>
        </w:rPr>
        <w:t>Borislav</w:t>
      </w:r>
      <w:proofErr w:type="spellEnd"/>
      <w:r w:rsidR="00084978" w:rsidRPr="007F4E6B">
        <w:rPr>
          <w:lang w:val="en-GB"/>
        </w:rPr>
        <w:t xml:space="preserve"> </w:t>
      </w:r>
      <w:proofErr w:type="spellStart"/>
      <w:r w:rsidR="00084978" w:rsidRPr="007F4E6B">
        <w:rPr>
          <w:lang w:val="en-GB"/>
        </w:rPr>
        <w:t>Pavić</w:t>
      </w:r>
      <w:proofErr w:type="spellEnd"/>
      <w:r w:rsidRPr="007F4E6B">
        <w:t>’s mortal remains, which</w:t>
      </w:r>
      <w:r w:rsidR="0087512A" w:rsidRPr="007F4E6B">
        <w:t xml:space="preserve"> activities</w:t>
      </w:r>
      <w:r w:rsidRPr="007F4E6B">
        <w:t xml:space="preserve"> were carried out between</w:t>
      </w:r>
      <w:r w:rsidR="00084978" w:rsidRPr="007F4E6B">
        <w:t xml:space="preserve"> 16 December 2002</w:t>
      </w:r>
      <w:r w:rsidRPr="007F4E6B">
        <w:t xml:space="preserve"> and </w:t>
      </w:r>
      <w:r w:rsidR="00084978" w:rsidRPr="007F4E6B">
        <w:t>17 March 2003</w:t>
      </w:r>
      <w:r w:rsidRPr="00570D6A">
        <w:t xml:space="preserve">. Although this must be considered in itself an </w:t>
      </w:r>
      <w:r w:rsidR="002A2F09" w:rsidRPr="00570D6A">
        <w:t xml:space="preserve">important </w:t>
      </w:r>
      <w:r w:rsidRPr="00570D6A">
        <w:t>achievement, the Panel recalls that the procedural obligation under Article 2 did not come to an en</w:t>
      </w:r>
      <w:r w:rsidR="00730D08" w:rsidRPr="00570D6A">
        <w:t>d with the discovery of the mortal remains</w:t>
      </w:r>
      <w:r w:rsidR="00AE167B" w:rsidRPr="00570D6A">
        <w:t>, especially as they showed signs of a</w:t>
      </w:r>
      <w:r w:rsidR="00473F9B" w:rsidRPr="00570D6A">
        <w:t xml:space="preserve"> </w:t>
      </w:r>
      <w:r w:rsidRPr="00570D6A">
        <w:t>violent death.</w:t>
      </w:r>
      <w:r w:rsidR="00BA4103" w:rsidRPr="00570D6A">
        <w:t xml:space="preserve"> Nonetheless, there is no evidence </w:t>
      </w:r>
      <w:r w:rsidR="00BA4103" w:rsidRPr="007F4E6B">
        <w:t xml:space="preserve">that any action was undertaken </w:t>
      </w:r>
      <w:r w:rsidR="00D94FD5" w:rsidRPr="007F4E6B">
        <w:t xml:space="preserve">with respect to clarifying the circumstances surrounding </w:t>
      </w:r>
      <w:proofErr w:type="spellStart"/>
      <w:r w:rsidR="00084978" w:rsidRPr="007F4E6B">
        <w:rPr>
          <w:lang w:val="en-GB"/>
        </w:rPr>
        <w:t>Borislav</w:t>
      </w:r>
      <w:proofErr w:type="spellEnd"/>
      <w:r w:rsidR="00084978" w:rsidRPr="007F4E6B">
        <w:rPr>
          <w:lang w:val="en-GB"/>
        </w:rPr>
        <w:t xml:space="preserve"> </w:t>
      </w:r>
      <w:proofErr w:type="spellStart"/>
      <w:r w:rsidR="00084978" w:rsidRPr="007F4E6B">
        <w:rPr>
          <w:lang w:val="en-GB"/>
        </w:rPr>
        <w:t>Pavić</w:t>
      </w:r>
      <w:proofErr w:type="spellEnd"/>
      <w:r w:rsidR="00D94FD5" w:rsidRPr="007F4E6B">
        <w:t>’s</w:t>
      </w:r>
      <w:r w:rsidR="00D94FD5" w:rsidRPr="00570D6A">
        <w:t xml:space="preserve"> </w:t>
      </w:r>
      <w:r w:rsidR="00D54387" w:rsidRPr="00570D6A">
        <w:t>abduction</w:t>
      </w:r>
      <w:r w:rsidR="00730D08" w:rsidRPr="00570D6A">
        <w:t xml:space="preserve"> and killing</w:t>
      </w:r>
      <w:r w:rsidR="00D94FD5" w:rsidRPr="00570D6A">
        <w:rPr>
          <w:color w:val="FF0000"/>
        </w:rPr>
        <w:t>.</w:t>
      </w:r>
    </w:p>
    <w:p w:rsidR="00D94FD5" w:rsidRPr="00A5537A" w:rsidRDefault="00D94FD5" w:rsidP="00EC64DD">
      <w:pPr>
        <w:tabs>
          <w:tab w:val="left" w:pos="360"/>
        </w:tabs>
        <w:ind w:left="360" w:hanging="360"/>
        <w:jc w:val="both"/>
      </w:pPr>
    </w:p>
    <w:p w:rsidR="00901D6F" w:rsidRPr="007F4E6B" w:rsidRDefault="00BA4103">
      <w:pPr>
        <w:numPr>
          <w:ilvl w:val="0"/>
          <w:numId w:val="5"/>
        </w:numPr>
        <w:tabs>
          <w:tab w:val="left" w:pos="360"/>
        </w:tabs>
        <w:ind w:left="360"/>
        <w:jc w:val="both"/>
        <w:rPr>
          <w:color w:val="000000"/>
        </w:rPr>
      </w:pPr>
      <w:r w:rsidRPr="00570D6A">
        <w:rPr>
          <w:color w:val="000000"/>
        </w:rPr>
        <w:t>In particular, there is no indication that UNMIK Police undertook</w:t>
      </w:r>
      <w:r w:rsidR="000D0C46" w:rsidRPr="00570D6A">
        <w:rPr>
          <w:color w:val="000000"/>
        </w:rPr>
        <w:t xml:space="preserve"> </w:t>
      </w:r>
      <w:r w:rsidR="003A5E2D" w:rsidRPr="00570D6A">
        <w:rPr>
          <w:color w:val="000000"/>
        </w:rPr>
        <w:t xml:space="preserve">in this respect </w:t>
      </w:r>
      <w:r w:rsidR="000D0C46" w:rsidRPr="00570D6A">
        <w:rPr>
          <w:color w:val="000000"/>
        </w:rPr>
        <w:t>any</w:t>
      </w:r>
      <w:r w:rsidRPr="00570D6A">
        <w:rPr>
          <w:color w:val="000000"/>
        </w:rPr>
        <w:t xml:space="preserve"> investigative s</w:t>
      </w:r>
      <w:r w:rsidR="000D0C46" w:rsidRPr="00570D6A">
        <w:rPr>
          <w:color w:val="000000"/>
        </w:rPr>
        <w:t xml:space="preserve">teps </w:t>
      </w:r>
      <w:r w:rsidRPr="00570D6A">
        <w:rPr>
          <w:color w:val="000000"/>
        </w:rPr>
        <w:t xml:space="preserve">such as: </w:t>
      </w:r>
      <w:r w:rsidR="009A1A66" w:rsidRPr="007F4E6B">
        <w:rPr>
          <w:color w:val="000000"/>
        </w:rPr>
        <w:t xml:space="preserve">interviewing the complainant and other family members, </w:t>
      </w:r>
      <w:r w:rsidR="008127E5" w:rsidRPr="007F4E6B">
        <w:rPr>
          <w:color w:val="000000"/>
        </w:rPr>
        <w:t>questioning</w:t>
      </w:r>
      <w:r w:rsidR="007F3402" w:rsidRPr="007F4E6B">
        <w:rPr>
          <w:color w:val="000000"/>
        </w:rPr>
        <w:t xml:space="preserve"> </w:t>
      </w:r>
      <w:r w:rsidR="0087512A" w:rsidRPr="007F4E6B">
        <w:rPr>
          <w:color w:val="000000"/>
        </w:rPr>
        <w:t>the</w:t>
      </w:r>
      <w:r w:rsidR="00084978" w:rsidRPr="007F4E6B">
        <w:rPr>
          <w:color w:val="000000"/>
        </w:rPr>
        <w:t xml:space="preserve"> concerned individual who</w:t>
      </w:r>
      <w:r w:rsidR="008127E5" w:rsidRPr="007F4E6B">
        <w:rPr>
          <w:color w:val="000000"/>
        </w:rPr>
        <w:t xml:space="preserve"> had</w:t>
      </w:r>
      <w:r w:rsidR="00084978" w:rsidRPr="007F4E6B">
        <w:rPr>
          <w:color w:val="000000"/>
        </w:rPr>
        <w:t xml:space="preserve"> </w:t>
      </w:r>
      <w:r w:rsidR="007F3402" w:rsidRPr="007F4E6B">
        <w:rPr>
          <w:color w:val="000000"/>
        </w:rPr>
        <w:t xml:space="preserve">been interviewed by the </w:t>
      </w:r>
      <w:r w:rsidR="00084978" w:rsidRPr="007F4E6B">
        <w:rPr>
          <w:color w:val="000000"/>
        </w:rPr>
        <w:t>OSCE</w:t>
      </w:r>
      <w:r w:rsidR="008127E5" w:rsidRPr="007F4E6B">
        <w:rPr>
          <w:color w:val="000000"/>
        </w:rPr>
        <w:t xml:space="preserve"> and</w:t>
      </w:r>
      <w:r w:rsidR="0087512A" w:rsidRPr="007F4E6B">
        <w:rPr>
          <w:color w:val="000000"/>
        </w:rPr>
        <w:t xml:space="preserve"> </w:t>
      </w:r>
      <w:r w:rsidR="007F3402" w:rsidRPr="007F4E6B">
        <w:rPr>
          <w:color w:val="000000"/>
        </w:rPr>
        <w:t xml:space="preserve">seeking and </w:t>
      </w:r>
      <w:r w:rsidR="009A1A66" w:rsidRPr="007F4E6B">
        <w:rPr>
          <w:color w:val="000000"/>
        </w:rPr>
        <w:t xml:space="preserve">interviewing potential witnesses </w:t>
      </w:r>
      <w:r w:rsidR="007F3402" w:rsidRPr="007F4E6B">
        <w:rPr>
          <w:color w:val="000000"/>
        </w:rPr>
        <w:t xml:space="preserve">from </w:t>
      </w:r>
      <w:r w:rsidR="009A1A66" w:rsidRPr="007F4E6B">
        <w:rPr>
          <w:color w:val="000000"/>
        </w:rPr>
        <w:t xml:space="preserve">among </w:t>
      </w:r>
      <w:r w:rsidR="00084978" w:rsidRPr="007F4E6B">
        <w:rPr>
          <w:color w:val="000000"/>
        </w:rPr>
        <w:t>persons who may have been at the alleged scene of the abduction</w:t>
      </w:r>
      <w:r w:rsidR="008127E5" w:rsidRPr="007F4E6B">
        <w:rPr>
          <w:color w:val="000000"/>
        </w:rPr>
        <w:t>.</w:t>
      </w:r>
      <w:r w:rsidR="00084978" w:rsidRPr="007F4E6B">
        <w:rPr>
          <w:color w:val="000000"/>
        </w:rPr>
        <w:t xml:space="preserve"> </w:t>
      </w:r>
    </w:p>
    <w:p w:rsidR="00901D6F" w:rsidRDefault="00901D6F">
      <w:pPr>
        <w:tabs>
          <w:tab w:val="left" w:pos="360"/>
        </w:tabs>
        <w:jc w:val="both"/>
        <w:rPr>
          <w:color w:val="000000"/>
        </w:rPr>
      </w:pPr>
    </w:p>
    <w:p w:rsidR="00641824" w:rsidRPr="00A5537A" w:rsidRDefault="00A172DA" w:rsidP="00641824">
      <w:pPr>
        <w:numPr>
          <w:ilvl w:val="0"/>
          <w:numId w:val="5"/>
        </w:numPr>
        <w:tabs>
          <w:tab w:val="left" w:pos="360"/>
        </w:tabs>
        <w:ind w:left="360"/>
        <w:jc w:val="both"/>
        <w:rPr>
          <w:color w:val="000000"/>
        </w:rPr>
      </w:pPr>
      <w:r>
        <w:rPr>
          <w:color w:val="000000"/>
        </w:rPr>
        <w:t xml:space="preserve">Coming to the period within its jurisdiction, starting from 23 April 2005, the Panel notes that there is no </w:t>
      </w:r>
      <w:r w:rsidRPr="007F4E6B">
        <w:rPr>
          <w:color w:val="000000"/>
        </w:rPr>
        <w:t xml:space="preserve">evidence that basic investigative steps had been carried out, such as interviewing the complainant and possible witnesses to any abduction that may have taken place. </w:t>
      </w:r>
      <w:r w:rsidRPr="007F4E6B">
        <w:rPr>
          <w:color w:val="000000"/>
          <w:lang w:val="en-GB"/>
        </w:rPr>
        <w:t>After</w:t>
      </w:r>
      <w:r w:rsidRPr="007F4E6B">
        <w:rPr>
          <w:color w:val="000000"/>
        </w:rPr>
        <w:t xml:space="preserve"> that critical date the failure to conduct the necessary investigative actions persisted, thus, in accordance with the </w:t>
      </w:r>
      <w:r w:rsidR="00641824" w:rsidRPr="00A5537A">
        <w:t xml:space="preserve">continuing obligation to investigate </w:t>
      </w:r>
      <w:r w:rsidR="00641824" w:rsidRPr="00A5537A">
        <w:rPr>
          <w:color w:val="000000"/>
          <w:lang w:val="en-GB"/>
        </w:rPr>
        <w:t xml:space="preserve">(see § </w:t>
      </w:r>
      <w:fldSimple w:instr=" REF _Ref342300077 \r \h  \* MERGEFORMAT ">
        <w:r w:rsidR="00A904C0" w:rsidRPr="00A904C0">
          <w:rPr>
            <w:color w:val="000000"/>
            <w:lang w:val="en-GB"/>
          </w:rPr>
          <w:t>66</w:t>
        </w:r>
      </w:fldSimple>
      <w:r w:rsidR="00641824" w:rsidRPr="00A5537A">
        <w:rPr>
          <w:color w:val="000000"/>
          <w:lang w:val="en-GB"/>
        </w:rPr>
        <w:t xml:space="preserve"> above)</w:t>
      </w:r>
      <w:r w:rsidR="00641824" w:rsidRPr="00A5537A">
        <w:t>, bringing the assessment of the whole investigation within the period of the Panel’s jurisdiction</w:t>
      </w:r>
      <w:r w:rsidR="00AE167B">
        <w:t>.</w:t>
      </w:r>
    </w:p>
    <w:p w:rsidR="00D94FD5" w:rsidRPr="00A5537A" w:rsidRDefault="00D94FD5" w:rsidP="00EC64DD">
      <w:pPr>
        <w:pStyle w:val="ListParagraph"/>
        <w:tabs>
          <w:tab w:val="left" w:pos="360"/>
        </w:tabs>
        <w:ind w:left="360" w:hanging="360"/>
      </w:pPr>
    </w:p>
    <w:p w:rsidR="000D0C46" w:rsidRPr="00A5537A" w:rsidRDefault="000D0C46" w:rsidP="00EC64DD">
      <w:pPr>
        <w:pStyle w:val="ListParagraph"/>
        <w:numPr>
          <w:ilvl w:val="0"/>
          <w:numId w:val="5"/>
        </w:numPr>
        <w:tabs>
          <w:tab w:val="left" w:pos="360"/>
        </w:tabs>
        <w:autoSpaceDE w:val="0"/>
        <w:ind w:left="360"/>
        <w:contextualSpacing/>
        <w:jc w:val="both"/>
        <w:rPr>
          <w:color w:val="000000"/>
          <w:lang w:val="en-GB" w:eastAsia="en-US"/>
        </w:rPr>
      </w:pPr>
      <w:r w:rsidRPr="00A5537A">
        <w:rPr>
          <w:color w:val="000000"/>
        </w:rPr>
        <w:t>In addition, the Panel considers that, as those responsible for the crime had</w:t>
      </w:r>
      <w:r w:rsidR="0067077C">
        <w:rPr>
          <w:color w:val="000000"/>
        </w:rPr>
        <w:t xml:space="preserve"> not</w:t>
      </w:r>
      <w:r w:rsidRPr="00A5537A">
        <w:rPr>
          <w:color w:val="000000"/>
        </w:rPr>
        <w:t xml:space="preserve"> been located, UNMIK was obligated to use the means at its disposal to regularly review the progress of the investigation to ensure that </w:t>
      </w:r>
      <w:r w:rsidR="00995F95" w:rsidRPr="00A5537A">
        <w:rPr>
          <w:color w:val="000000"/>
        </w:rPr>
        <w:t xml:space="preserve">nothing had been </w:t>
      </w:r>
      <w:r w:rsidR="00995F95" w:rsidRPr="00570D6A">
        <w:rPr>
          <w:color w:val="000000"/>
        </w:rPr>
        <w:t xml:space="preserve">overlooked and any new </w:t>
      </w:r>
      <w:r w:rsidR="00AE4434" w:rsidRPr="00570D6A">
        <w:rPr>
          <w:color w:val="000000"/>
        </w:rPr>
        <w:t xml:space="preserve">evidence </w:t>
      </w:r>
      <w:r w:rsidR="00995F95" w:rsidRPr="00570D6A">
        <w:rPr>
          <w:color w:val="000000"/>
        </w:rPr>
        <w:t>had been considered</w:t>
      </w:r>
      <w:r w:rsidR="00AA5985" w:rsidRPr="00570D6A">
        <w:rPr>
          <w:color w:val="000000"/>
        </w:rPr>
        <w:t xml:space="preserve">, </w:t>
      </w:r>
      <w:r w:rsidRPr="00570D6A">
        <w:rPr>
          <w:color w:val="000000"/>
        </w:rPr>
        <w:t>as</w:t>
      </w:r>
      <w:r w:rsidRPr="00570D6A">
        <w:t xml:space="preserve"> well</w:t>
      </w:r>
      <w:r w:rsidRPr="00570D6A">
        <w:rPr>
          <w:b/>
          <w:color w:val="0000CC"/>
        </w:rPr>
        <w:t xml:space="preserve"> </w:t>
      </w:r>
      <w:r w:rsidRPr="00570D6A">
        <w:t>as to inform the relatives of</w:t>
      </w:r>
      <w:r w:rsidRPr="00570D6A">
        <w:rPr>
          <w:b/>
          <w:color w:val="0000CC"/>
        </w:rPr>
        <w:t xml:space="preserve"> </w:t>
      </w:r>
      <w:proofErr w:type="spellStart"/>
      <w:r w:rsidR="00084978" w:rsidRPr="007F4E6B">
        <w:rPr>
          <w:lang w:val="en-GB"/>
        </w:rPr>
        <w:t>Borislav</w:t>
      </w:r>
      <w:proofErr w:type="spellEnd"/>
      <w:r w:rsidR="00084978" w:rsidRPr="007F4E6B">
        <w:rPr>
          <w:lang w:val="en-GB"/>
        </w:rPr>
        <w:t xml:space="preserve"> </w:t>
      </w:r>
      <w:proofErr w:type="spellStart"/>
      <w:r w:rsidR="00084978" w:rsidRPr="007F4E6B">
        <w:rPr>
          <w:lang w:val="en-GB"/>
        </w:rPr>
        <w:t>Pavić</w:t>
      </w:r>
      <w:proofErr w:type="spellEnd"/>
      <w:r w:rsidRPr="00A5537A">
        <w:rPr>
          <w:color w:val="000000"/>
        </w:rPr>
        <w:t xml:space="preserve"> regarding any possible new leads of enquiry. However, </w:t>
      </w:r>
      <w:r w:rsidR="00995F95" w:rsidRPr="00A5537A">
        <w:rPr>
          <w:color w:val="000000"/>
        </w:rPr>
        <w:t>there is no indication that any such review</w:t>
      </w:r>
      <w:r w:rsidRPr="00A5537A">
        <w:rPr>
          <w:color w:val="000000"/>
        </w:rPr>
        <w:t xml:space="preserve"> </w:t>
      </w:r>
      <w:r w:rsidR="009A1A66" w:rsidRPr="00A5537A">
        <w:rPr>
          <w:color w:val="000000"/>
        </w:rPr>
        <w:t xml:space="preserve">was ever </w:t>
      </w:r>
      <w:r w:rsidR="00995F95" w:rsidRPr="00A5537A">
        <w:rPr>
          <w:color w:val="000000"/>
        </w:rPr>
        <w:t>undertaken</w:t>
      </w:r>
      <w:r w:rsidR="009A1A66" w:rsidRPr="00A5537A">
        <w:rPr>
          <w:color w:val="000000"/>
        </w:rPr>
        <w:t>.</w:t>
      </w:r>
    </w:p>
    <w:p w:rsidR="004073C4" w:rsidRPr="00A5537A" w:rsidRDefault="004073C4" w:rsidP="00EC64DD">
      <w:pPr>
        <w:tabs>
          <w:tab w:val="left" w:pos="360"/>
        </w:tabs>
        <w:autoSpaceDE w:val="0"/>
        <w:ind w:left="360" w:hanging="360"/>
        <w:contextualSpacing/>
        <w:jc w:val="both"/>
        <w:rPr>
          <w:color w:val="000000"/>
          <w:lang w:val="en-GB"/>
        </w:rPr>
      </w:pPr>
    </w:p>
    <w:p w:rsidR="00DB2E6D" w:rsidRPr="00A5537A" w:rsidRDefault="00DB2E6D" w:rsidP="00DB2E6D">
      <w:pPr>
        <w:numPr>
          <w:ilvl w:val="0"/>
          <w:numId w:val="5"/>
        </w:numPr>
        <w:tabs>
          <w:tab w:val="left" w:pos="360"/>
        </w:tabs>
        <w:suppressAutoHyphens/>
        <w:autoSpaceDE w:val="0"/>
        <w:ind w:left="360"/>
        <w:contextualSpacing/>
        <w:jc w:val="both"/>
        <w:rPr>
          <w:lang w:val="en-GB"/>
        </w:rPr>
      </w:pPr>
      <w:r w:rsidRPr="00A5537A">
        <w:rPr>
          <w:bCs/>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D92AAE" w:rsidRPr="0067077C" w:rsidRDefault="00D92AAE" w:rsidP="0067077C">
      <w:pPr>
        <w:tabs>
          <w:tab w:val="left" w:pos="360"/>
        </w:tabs>
        <w:rPr>
          <w:bCs/>
          <w:lang w:val="en-GB"/>
        </w:rPr>
      </w:pPr>
    </w:p>
    <w:p w:rsidR="00B67EAB" w:rsidRPr="00A5537A" w:rsidRDefault="00B67EAB" w:rsidP="00EC64DD">
      <w:pPr>
        <w:numPr>
          <w:ilvl w:val="0"/>
          <w:numId w:val="5"/>
        </w:numPr>
        <w:tabs>
          <w:tab w:val="left" w:pos="360"/>
        </w:tabs>
        <w:suppressAutoHyphens/>
        <w:autoSpaceDE w:val="0"/>
        <w:ind w:left="360"/>
        <w:jc w:val="both"/>
        <w:rPr>
          <w:color w:val="000000"/>
        </w:rPr>
      </w:pPr>
      <w:bookmarkStart w:id="30" w:name="_Ref342040362"/>
      <w:r w:rsidRPr="00A5537A">
        <w:t>The Panel therefore considers that, having regard to all the circumsta</w:t>
      </w:r>
      <w:r w:rsidR="00995F95" w:rsidRPr="00A5537A">
        <w:t>nces of the particular case, no</w:t>
      </w:r>
      <w:r w:rsidRPr="00A5537A">
        <w:t xml:space="preserve"> steps </w:t>
      </w:r>
      <w:r w:rsidR="00995F95" w:rsidRPr="00A5537A">
        <w:t xml:space="preserve">appear to have been taken by UNMIK to clarify the circumstances of </w:t>
      </w:r>
      <w:proofErr w:type="spellStart"/>
      <w:r w:rsidR="00084978" w:rsidRPr="007F4E6B">
        <w:rPr>
          <w:lang w:val="en-GB"/>
        </w:rPr>
        <w:t>Borislav</w:t>
      </w:r>
      <w:proofErr w:type="spellEnd"/>
      <w:r w:rsidR="00084978" w:rsidRPr="007F4E6B">
        <w:rPr>
          <w:lang w:val="en-GB"/>
        </w:rPr>
        <w:t xml:space="preserve"> </w:t>
      </w:r>
      <w:proofErr w:type="spellStart"/>
      <w:r w:rsidR="00084978" w:rsidRPr="007F4E6B">
        <w:rPr>
          <w:lang w:val="en-GB"/>
        </w:rPr>
        <w:t>Pavić</w:t>
      </w:r>
      <w:proofErr w:type="spellEnd"/>
      <w:r w:rsidR="00995F95" w:rsidRPr="007F4E6B">
        <w:t>’s</w:t>
      </w:r>
      <w:r w:rsidR="00995F95" w:rsidRPr="00570D6A">
        <w:t xml:space="preserve"> </w:t>
      </w:r>
      <w:r w:rsidR="0087512A" w:rsidRPr="00570D6A">
        <w:t>abduction</w:t>
      </w:r>
      <w:r w:rsidR="00995F95" w:rsidRPr="00570D6A">
        <w:t xml:space="preserve"> and </w:t>
      </w:r>
      <w:r w:rsidR="00AE167B" w:rsidRPr="00570D6A">
        <w:t>killing</w:t>
      </w:r>
      <w:r w:rsidR="00995F95" w:rsidRPr="00570D6A">
        <w:t xml:space="preserve"> and bring any </w:t>
      </w:r>
      <w:r w:rsidRPr="00570D6A">
        <w:t>perpetrators to justice.</w:t>
      </w:r>
      <w:r w:rsidRPr="00A5537A">
        <w:t xml:space="preserve"> In this sense the Panel considers that the investigation was not adequate and did not comply with the requirements of promptness, expedition and effectiveness (see § </w:t>
      </w:r>
      <w:fldSimple w:instr=" REF _Ref346724174 \r \h  \* MERGEFORMAT ">
        <w:r w:rsidR="00A904C0" w:rsidRPr="00A904C0">
          <w:t>64</w:t>
        </w:r>
      </w:fldSimple>
      <w:r w:rsidR="000F013A" w:rsidRPr="00A5537A">
        <w:t xml:space="preserve"> </w:t>
      </w:r>
      <w:r w:rsidRPr="00A5537A">
        <w:t>ab</w:t>
      </w:r>
      <w:r w:rsidR="00F05731" w:rsidRPr="00A5537A">
        <w:t>ove), as required by Article 2.</w:t>
      </w:r>
    </w:p>
    <w:p w:rsidR="00B67EAB" w:rsidRPr="00A5537A" w:rsidRDefault="00B67EAB" w:rsidP="00EC64DD">
      <w:pPr>
        <w:pStyle w:val="ListParagraph"/>
        <w:tabs>
          <w:tab w:val="left" w:pos="360"/>
        </w:tabs>
        <w:ind w:left="360" w:hanging="360"/>
      </w:pPr>
    </w:p>
    <w:p w:rsidR="00F3542E" w:rsidRPr="00570D6A" w:rsidRDefault="00B67EAB" w:rsidP="00EC64DD">
      <w:pPr>
        <w:numPr>
          <w:ilvl w:val="0"/>
          <w:numId w:val="5"/>
        </w:numPr>
        <w:tabs>
          <w:tab w:val="left" w:pos="360"/>
        </w:tabs>
        <w:suppressAutoHyphens/>
        <w:autoSpaceDE w:val="0"/>
        <w:ind w:left="360"/>
        <w:jc w:val="both"/>
        <w:rPr>
          <w:color w:val="000000"/>
        </w:rPr>
      </w:pPr>
      <w:r w:rsidRPr="00570D6A">
        <w:t xml:space="preserve">As concerns the requirement of public scrutiny, the Panel recalls that Article 2 also requires the victim's next-of-kin to be involved in the investigation to the extent necessary to safeguard his or her legitimate interests. </w:t>
      </w:r>
      <w:r w:rsidRPr="00570D6A">
        <w:rPr>
          <w:color w:val="000000"/>
        </w:rPr>
        <w:t>In this regard</w:t>
      </w:r>
      <w:r w:rsidR="00A54F53" w:rsidRPr="00570D6A">
        <w:rPr>
          <w:lang w:val="en-GB"/>
        </w:rPr>
        <w:t xml:space="preserve">, the complainant claims that </w:t>
      </w:r>
      <w:r w:rsidR="0067077C" w:rsidRPr="00570D6A">
        <w:rPr>
          <w:lang w:val="en-GB"/>
        </w:rPr>
        <w:t>s</w:t>
      </w:r>
      <w:r w:rsidR="00A54F53" w:rsidRPr="00570D6A">
        <w:rPr>
          <w:lang w:val="en-GB"/>
        </w:rPr>
        <w:t>he was never informed about the steps taken by the investigators.</w:t>
      </w:r>
      <w:r w:rsidRPr="00570D6A">
        <w:rPr>
          <w:color w:val="000000"/>
        </w:rPr>
        <w:t xml:space="preserve"> </w:t>
      </w:r>
      <w:r w:rsidR="00F3542E" w:rsidRPr="00570D6A">
        <w:rPr>
          <w:lang w:val="en-GB"/>
        </w:rPr>
        <w:t xml:space="preserve">The Panel notes that the complainant </w:t>
      </w:r>
      <w:r w:rsidR="00F3542E" w:rsidRPr="00570D6A">
        <w:t>only communicated with KFOR</w:t>
      </w:r>
      <w:r w:rsidR="0067077C" w:rsidRPr="00570D6A">
        <w:t xml:space="preserve"> and UNMIK on her own accord</w:t>
      </w:r>
      <w:r w:rsidR="00F3542E" w:rsidRPr="00570D6A">
        <w:t xml:space="preserve">. As the Panel has already noted, </w:t>
      </w:r>
      <w:r w:rsidR="0067077C" w:rsidRPr="00570D6A">
        <w:t>from the parties submissions, it</w:t>
      </w:r>
      <w:r w:rsidR="00D54387" w:rsidRPr="00570D6A">
        <w:t xml:space="preserve"> is</w:t>
      </w:r>
      <w:r w:rsidR="0067077C" w:rsidRPr="00570D6A">
        <w:t xml:space="preserve"> </w:t>
      </w:r>
      <w:r w:rsidR="00D54387" w:rsidRPr="00570D6A">
        <w:t>unclear whether</w:t>
      </w:r>
      <w:r w:rsidR="0067077C" w:rsidRPr="00570D6A">
        <w:t xml:space="preserve"> a</w:t>
      </w:r>
      <w:r w:rsidR="00F3542E" w:rsidRPr="00570D6A">
        <w:t xml:space="preserve"> statement was ever taken from the complainant</w:t>
      </w:r>
      <w:r w:rsidR="0067077C" w:rsidRPr="00570D6A">
        <w:t>; she emphatically states that no information was given to her</w:t>
      </w:r>
      <w:r w:rsidR="00F3542E" w:rsidRPr="00570D6A">
        <w:t xml:space="preserve"> concerning the status of the investigation</w:t>
      </w:r>
      <w:r w:rsidR="004D4694" w:rsidRPr="00570D6A">
        <w:t>.</w:t>
      </w:r>
    </w:p>
    <w:p w:rsidR="00A54F53" w:rsidRPr="00A5537A" w:rsidRDefault="00A54F53" w:rsidP="00EC64DD">
      <w:pPr>
        <w:pStyle w:val="ListParagraph"/>
        <w:tabs>
          <w:tab w:val="left" w:pos="360"/>
        </w:tabs>
        <w:ind w:left="360" w:hanging="360"/>
        <w:rPr>
          <w:lang w:val="en-GB"/>
        </w:rPr>
      </w:pPr>
    </w:p>
    <w:p w:rsidR="00B67EAB" w:rsidRPr="00A5537A" w:rsidRDefault="00A54F53" w:rsidP="00EC64DD">
      <w:pPr>
        <w:numPr>
          <w:ilvl w:val="0"/>
          <w:numId w:val="5"/>
        </w:numPr>
        <w:tabs>
          <w:tab w:val="left" w:pos="360"/>
        </w:tabs>
        <w:suppressAutoHyphens/>
        <w:autoSpaceDE w:val="0"/>
        <w:autoSpaceDN w:val="0"/>
        <w:adjustRightInd w:val="0"/>
        <w:ind w:left="360"/>
        <w:contextualSpacing/>
        <w:jc w:val="both"/>
        <w:rPr>
          <w:color w:val="000000"/>
          <w:lang w:val="en-GB"/>
        </w:rPr>
      </w:pPr>
      <w:r w:rsidRPr="00A5537A">
        <w:rPr>
          <w:lang w:val="en-GB"/>
        </w:rPr>
        <w:t>The Pan</w:t>
      </w:r>
      <w:r w:rsidR="00C67939" w:rsidRPr="00A5537A">
        <w:rPr>
          <w:lang w:val="en-GB"/>
        </w:rPr>
        <w:t>el understands the complainant’s</w:t>
      </w:r>
      <w:r w:rsidRPr="00A5537A">
        <w:rPr>
          <w:lang w:val="en-GB"/>
        </w:rPr>
        <w:t xml:space="preserve"> view that the extent of the information received was unsatisfactory. The Panel is also aware that in all cases, the victim’s next-of-kin must be involved in the </w:t>
      </w:r>
      <w:r w:rsidRPr="00A5537A">
        <w:t>procedure</w:t>
      </w:r>
      <w:r w:rsidRPr="00A5537A">
        <w:rPr>
          <w:lang w:val="en-GB"/>
        </w:rPr>
        <w:t xml:space="preserve"> to the extent necessary to safeguard his or her legitimate interest (see </w:t>
      </w:r>
      <w:proofErr w:type="spellStart"/>
      <w:r w:rsidRPr="00A5537A">
        <w:rPr>
          <w:lang w:val="en-GB"/>
        </w:rPr>
        <w:t>ECtHR</w:t>
      </w:r>
      <w:proofErr w:type="spellEnd"/>
      <w:r w:rsidR="000F013A" w:rsidRPr="00A5537A">
        <w:rPr>
          <w:lang w:val="en-GB"/>
        </w:rPr>
        <w:t xml:space="preserve"> [GC]</w:t>
      </w:r>
      <w:r w:rsidRPr="00A5537A">
        <w:rPr>
          <w:lang w:val="en-GB"/>
        </w:rPr>
        <w:t xml:space="preserve">, </w:t>
      </w:r>
      <w:proofErr w:type="spellStart"/>
      <w:r w:rsidRPr="00A5537A">
        <w:rPr>
          <w:i/>
          <w:lang w:val="en-GB"/>
        </w:rPr>
        <w:t>Tahsin</w:t>
      </w:r>
      <w:proofErr w:type="spellEnd"/>
      <w:r w:rsidRPr="00A5537A">
        <w:rPr>
          <w:i/>
          <w:lang w:val="en-GB"/>
        </w:rPr>
        <w:t xml:space="preserve"> </w:t>
      </w:r>
      <w:proofErr w:type="spellStart"/>
      <w:r w:rsidRPr="00A5537A">
        <w:rPr>
          <w:i/>
          <w:lang w:val="en-GB"/>
        </w:rPr>
        <w:t>Acar</w:t>
      </w:r>
      <w:proofErr w:type="spellEnd"/>
      <w:r w:rsidRPr="00A5537A">
        <w:rPr>
          <w:i/>
          <w:lang w:val="en-GB"/>
        </w:rPr>
        <w:t xml:space="preserve"> v Turkey,</w:t>
      </w:r>
      <w:r w:rsidRPr="00A5537A">
        <w:rPr>
          <w:lang w:val="en-GB"/>
        </w:rPr>
        <w:t xml:space="preserve"> no. 26307/95, judgment of 8 April 2004</w:t>
      </w:r>
      <w:r w:rsidR="000F013A" w:rsidRPr="00A5537A">
        <w:rPr>
          <w:lang w:val="en-GB"/>
        </w:rPr>
        <w:t xml:space="preserve">, § 226, </w:t>
      </w:r>
      <w:r w:rsidR="000F013A" w:rsidRPr="00A5537A">
        <w:t>ECHR 2004-III</w:t>
      </w:r>
      <w:r w:rsidRPr="00A5537A">
        <w:rPr>
          <w:lang w:val="en-GB"/>
        </w:rPr>
        <w:t xml:space="preserve">; </w:t>
      </w:r>
      <w:proofErr w:type="spellStart"/>
      <w:r w:rsidR="000F013A" w:rsidRPr="00A5537A">
        <w:rPr>
          <w:lang w:val="en-GB"/>
        </w:rPr>
        <w:t>ECtHR</w:t>
      </w:r>
      <w:proofErr w:type="spellEnd"/>
      <w:r w:rsidR="000F013A" w:rsidRPr="00A5537A">
        <w:rPr>
          <w:lang w:val="en-GB"/>
        </w:rPr>
        <w:t xml:space="preserve">, </w:t>
      </w:r>
      <w:proofErr w:type="spellStart"/>
      <w:r w:rsidRPr="00A5537A">
        <w:rPr>
          <w:i/>
          <w:lang w:val="en-GB"/>
        </w:rPr>
        <w:t>Taniş</w:t>
      </w:r>
      <w:proofErr w:type="spellEnd"/>
      <w:r w:rsidRPr="00A5537A">
        <w:rPr>
          <w:i/>
          <w:lang w:val="en-GB"/>
        </w:rPr>
        <w:t xml:space="preserve"> v Turkey,</w:t>
      </w:r>
      <w:r w:rsidRPr="00A5537A">
        <w:rPr>
          <w:lang w:val="en-GB"/>
        </w:rPr>
        <w:t xml:space="preserve"> no. 65899/01, judgment of 2 August 2005, § 204</w:t>
      </w:r>
      <w:r w:rsidR="000F013A" w:rsidRPr="00A5537A">
        <w:rPr>
          <w:lang w:val="en-GB"/>
        </w:rPr>
        <w:t xml:space="preserve">, ECHR </w:t>
      </w:r>
      <w:r w:rsidR="000F013A" w:rsidRPr="00A5537A">
        <w:t>2005-VIII</w:t>
      </w:r>
      <w:r w:rsidRPr="00A5537A">
        <w:rPr>
          <w:lang w:val="en-GB"/>
        </w:rPr>
        <w:t>).</w:t>
      </w:r>
      <w:r w:rsidR="00B67EAB" w:rsidRPr="00A5537A">
        <w:rPr>
          <w:color w:val="000000"/>
          <w:lang w:val="en-GB"/>
        </w:rPr>
        <w:t xml:space="preserve"> </w:t>
      </w:r>
      <w:r w:rsidR="00B67EAB" w:rsidRPr="00A5537A">
        <w:t>The Panel therefore considers that the investigation was not accessible to the complainant’s family as required by Article 2.</w:t>
      </w:r>
    </w:p>
    <w:p w:rsidR="00B67EAB" w:rsidRPr="00A5537A" w:rsidRDefault="00B67EAB" w:rsidP="00EC64DD">
      <w:pPr>
        <w:tabs>
          <w:tab w:val="left" w:pos="360"/>
        </w:tabs>
        <w:suppressAutoHyphens/>
        <w:autoSpaceDE w:val="0"/>
        <w:autoSpaceDN w:val="0"/>
        <w:adjustRightInd w:val="0"/>
        <w:ind w:left="360" w:hanging="360"/>
        <w:contextualSpacing/>
        <w:jc w:val="both"/>
        <w:rPr>
          <w:color w:val="000000"/>
          <w:lang w:val="en-GB"/>
        </w:rPr>
      </w:pPr>
    </w:p>
    <w:p w:rsidR="00B67EAB" w:rsidRPr="00A5537A" w:rsidRDefault="00B67EAB" w:rsidP="00EC64DD">
      <w:pPr>
        <w:numPr>
          <w:ilvl w:val="0"/>
          <w:numId w:val="5"/>
        </w:numPr>
        <w:tabs>
          <w:tab w:val="left" w:pos="360"/>
          <w:tab w:val="num" w:pos="450"/>
        </w:tabs>
        <w:autoSpaceDE w:val="0"/>
        <w:ind w:left="360"/>
        <w:contextualSpacing/>
        <w:jc w:val="both"/>
        <w:rPr>
          <w:color w:val="000000"/>
          <w:lang w:val="en-GB"/>
        </w:rPr>
      </w:pPr>
      <w:r w:rsidRPr="00A5537A">
        <w:rPr>
          <w:color w:val="000000"/>
        </w:rPr>
        <w:t xml:space="preserve">In light of the deficiencies and shortcomings as described above, the Panel </w:t>
      </w:r>
      <w:r w:rsidRPr="00A5537A">
        <w:t>concludes</w:t>
      </w:r>
      <w:r w:rsidRPr="00A5537A">
        <w:rPr>
          <w:color w:val="000000"/>
        </w:rPr>
        <w:t xml:space="preserve"> that UNMIK failed to carry out an adequate and effective investigation into the </w:t>
      </w:r>
      <w:r w:rsidR="009A1A66" w:rsidRPr="00A5537A">
        <w:rPr>
          <w:color w:val="000000"/>
        </w:rPr>
        <w:t xml:space="preserve">disappearance </w:t>
      </w:r>
      <w:r w:rsidRPr="00A5537A">
        <w:rPr>
          <w:color w:val="000000"/>
        </w:rPr>
        <w:t xml:space="preserve">and </w:t>
      </w:r>
      <w:r w:rsidR="005E02A7" w:rsidRPr="00A5537A">
        <w:rPr>
          <w:color w:val="000000"/>
        </w:rPr>
        <w:t>death</w:t>
      </w:r>
      <w:r w:rsidRPr="00A5537A">
        <w:rPr>
          <w:color w:val="000000"/>
        </w:rPr>
        <w:t xml:space="preserve"> of t</w:t>
      </w:r>
      <w:r w:rsidR="005E02A7" w:rsidRPr="00A5537A">
        <w:rPr>
          <w:color w:val="000000"/>
        </w:rPr>
        <w:t xml:space="preserve">he complainant’s </w:t>
      </w:r>
      <w:r w:rsidR="0067077C">
        <w:rPr>
          <w:color w:val="000000"/>
        </w:rPr>
        <w:t>husband</w:t>
      </w:r>
      <w:r w:rsidRPr="00A5537A">
        <w:rPr>
          <w:color w:val="000000"/>
        </w:rPr>
        <w:t>. There has been accordingly a vio</w:t>
      </w:r>
      <w:r w:rsidR="00C67939" w:rsidRPr="00A5537A">
        <w:rPr>
          <w:color w:val="000000"/>
        </w:rPr>
        <w:t>lation of Article 2 of the ECHR under its procedural limb.</w:t>
      </w:r>
    </w:p>
    <w:bookmarkEnd w:id="30"/>
    <w:p w:rsidR="00074F08" w:rsidRPr="00A5537A" w:rsidRDefault="00074F08" w:rsidP="0067077C">
      <w:pPr>
        <w:tabs>
          <w:tab w:val="left" w:pos="360"/>
        </w:tabs>
        <w:autoSpaceDE w:val="0"/>
        <w:autoSpaceDN w:val="0"/>
        <w:adjustRightInd w:val="0"/>
        <w:jc w:val="both"/>
        <w:rPr>
          <w:bCs/>
        </w:rPr>
      </w:pPr>
    </w:p>
    <w:p w:rsidR="009A1A66" w:rsidRPr="00A5537A" w:rsidRDefault="009A1A66" w:rsidP="00EC64DD">
      <w:pPr>
        <w:tabs>
          <w:tab w:val="left" w:pos="360"/>
        </w:tabs>
        <w:autoSpaceDE w:val="0"/>
        <w:autoSpaceDN w:val="0"/>
        <w:adjustRightInd w:val="0"/>
        <w:ind w:left="360" w:hanging="360"/>
        <w:jc w:val="both"/>
        <w:rPr>
          <w:bCs/>
        </w:rPr>
      </w:pPr>
    </w:p>
    <w:p w:rsidR="00BE6FAD" w:rsidRPr="00A5537A" w:rsidRDefault="00BE6FAD" w:rsidP="00EC64DD">
      <w:pPr>
        <w:tabs>
          <w:tab w:val="left" w:pos="360"/>
        </w:tabs>
        <w:ind w:left="360" w:hanging="360"/>
        <w:rPr>
          <w:b/>
        </w:rPr>
      </w:pPr>
      <w:r w:rsidRPr="00A5537A">
        <w:rPr>
          <w:b/>
        </w:rPr>
        <w:t>V. CONCLUDING COMMENTS AND RECOMMENDATIONS</w:t>
      </w:r>
    </w:p>
    <w:p w:rsidR="00BE6FAD" w:rsidRPr="00A5537A" w:rsidRDefault="00BE6FAD" w:rsidP="00EC64DD">
      <w:pPr>
        <w:pStyle w:val="ListParagraph"/>
        <w:tabs>
          <w:tab w:val="left" w:pos="360"/>
        </w:tabs>
        <w:ind w:left="360" w:hanging="360"/>
      </w:pPr>
    </w:p>
    <w:p w:rsidR="00BE6FAD" w:rsidRPr="00A5537A" w:rsidRDefault="00BE6FAD" w:rsidP="00EC64DD">
      <w:pPr>
        <w:numPr>
          <w:ilvl w:val="0"/>
          <w:numId w:val="5"/>
        </w:numPr>
        <w:tabs>
          <w:tab w:val="left" w:pos="360"/>
          <w:tab w:val="num" w:pos="450"/>
        </w:tabs>
        <w:suppressAutoHyphens/>
        <w:autoSpaceDE w:val="0"/>
        <w:ind w:left="360"/>
        <w:jc w:val="both"/>
        <w:rPr>
          <w:b/>
          <w:bCs/>
        </w:rPr>
      </w:pPr>
      <w:r w:rsidRPr="00A5537A">
        <w:t xml:space="preserve">In </w:t>
      </w:r>
      <w:r w:rsidRPr="00A5537A">
        <w:rPr>
          <w:lang w:val="en-GB"/>
        </w:rPr>
        <w:t>light</w:t>
      </w:r>
      <w:r w:rsidRPr="00A5537A">
        <w:t xml:space="preserve"> of the Panel’s findings in this case, the Panel is of the opinion that some form of </w:t>
      </w:r>
      <w:r w:rsidRPr="00A5537A">
        <w:rPr>
          <w:bCs/>
        </w:rPr>
        <w:t>reparation</w:t>
      </w:r>
      <w:r w:rsidRPr="00A5537A">
        <w:t xml:space="preserve"> is necessary.</w:t>
      </w:r>
    </w:p>
    <w:p w:rsidR="00BE6FAD" w:rsidRPr="00A5537A" w:rsidRDefault="00BE6FAD" w:rsidP="00EC64DD">
      <w:pPr>
        <w:pStyle w:val="ListParagraph"/>
        <w:tabs>
          <w:tab w:val="left" w:pos="360"/>
        </w:tabs>
        <w:ind w:left="360" w:hanging="360"/>
      </w:pPr>
    </w:p>
    <w:p w:rsidR="00BE6FAD" w:rsidRPr="00A5537A" w:rsidRDefault="00BE6FAD" w:rsidP="00EC64DD">
      <w:pPr>
        <w:numPr>
          <w:ilvl w:val="0"/>
          <w:numId w:val="5"/>
        </w:numPr>
        <w:tabs>
          <w:tab w:val="left" w:pos="360"/>
          <w:tab w:val="num" w:pos="450"/>
        </w:tabs>
        <w:suppressAutoHyphens/>
        <w:autoSpaceDE w:val="0"/>
        <w:ind w:left="360"/>
        <w:jc w:val="both"/>
        <w:rPr>
          <w:b/>
          <w:bCs/>
        </w:rPr>
      </w:pPr>
      <w:r w:rsidRPr="00A5537A">
        <w:t xml:space="preserve">The Panel notes that enforced disappearances and arbitrary killings constitute serious violations of human rights which the competent authorities are under an obligation to investigate and to bring perpetrators to justice under all circumstances. The Panel also notes that pursuant to United Nations Security Council Resolution 1244 (1999) UNMIK from 1999 to 2008 had the primary responsibility to effectively investigate and prosecute the disappearance and </w:t>
      </w:r>
      <w:r w:rsidR="00003EE4" w:rsidRPr="00A5537A">
        <w:t>death</w:t>
      </w:r>
      <w:r w:rsidRPr="00A5537A">
        <w:t xml:space="preserve"> of </w:t>
      </w:r>
      <w:proofErr w:type="spellStart"/>
      <w:r w:rsidR="000F336F" w:rsidRPr="007F4E6B">
        <w:rPr>
          <w:lang w:val="en-GB"/>
        </w:rPr>
        <w:t>Borislav</w:t>
      </w:r>
      <w:proofErr w:type="spellEnd"/>
      <w:r w:rsidR="000F336F" w:rsidRPr="007F4E6B">
        <w:rPr>
          <w:lang w:val="en-GB"/>
        </w:rPr>
        <w:t xml:space="preserve"> </w:t>
      </w:r>
      <w:proofErr w:type="spellStart"/>
      <w:r w:rsidR="000F336F" w:rsidRPr="007F4E6B">
        <w:rPr>
          <w:lang w:val="en-GB"/>
        </w:rPr>
        <w:t>Pavić</w:t>
      </w:r>
      <w:proofErr w:type="spellEnd"/>
      <w:r w:rsidRPr="007F4E6B">
        <w:t>,</w:t>
      </w:r>
      <w:r w:rsidRPr="00A5537A">
        <w:t xml:space="preserve"> and that its failure to do so </w:t>
      </w:r>
      <w:r w:rsidRPr="00A5537A">
        <w:rPr>
          <w:bCs/>
        </w:rPr>
        <w:t>constitutes</w:t>
      </w:r>
      <w:r w:rsidRPr="00A5537A">
        <w:t xml:space="preserve"> a further serious violation of the human rights of the victim and hi</w:t>
      </w:r>
      <w:r w:rsidR="00A16C77" w:rsidRPr="00A5537A">
        <w:t>s</w:t>
      </w:r>
      <w:r w:rsidRPr="00A5537A">
        <w:t xml:space="preserve"> next-of-kin, in particular the right to have the </w:t>
      </w:r>
      <w:r w:rsidR="00A16C77" w:rsidRPr="00A5537A">
        <w:t>truth of the matter determined.</w:t>
      </w:r>
    </w:p>
    <w:p w:rsidR="00BE6FAD" w:rsidRPr="00A5537A" w:rsidRDefault="00BE6FAD" w:rsidP="00EC64DD">
      <w:pPr>
        <w:pStyle w:val="ListParagraph"/>
        <w:tabs>
          <w:tab w:val="left" w:pos="360"/>
        </w:tabs>
        <w:ind w:left="360" w:hanging="360"/>
        <w:rPr>
          <w:b/>
          <w:bCs/>
        </w:rPr>
      </w:pPr>
    </w:p>
    <w:p w:rsidR="00BE6FAD" w:rsidRPr="00A5537A" w:rsidRDefault="00BE6FAD" w:rsidP="00EC64DD">
      <w:pPr>
        <w:numPr>
          <w:ilvl w:val="0"/>
          <w:numId w:val="5"/>
        </w:numPr>
        <w:tabs>
          <w:tab w:val="left" w:pos="360"/>
          <w:tab w:val="num" w:pos="450"/>
        </w:tabs>
        <w:suppressAutoHyphens/>
        <w:autoSpaceDE w:val="0"/>
        <w:ind w:left="360"/>
        <w:jc w:val="both"/>
        <w:rPr>
          <w:bCs/>
        </w:rPr>
      </w:pPr>
      <w:r w:rsidRPr="00A5537A">
        <w:rPr>
          <w:bCs/>
        </w:rPr>
        <w:t>The Panel notes the SRSG’s own concerns that the inadequate resources, especially at the outset of UNMIK’s mission, made compliance with UNMIK’s human rights obligations difficult to achieve.</w:t>
      </w:r>
    </w:p>
    <w:p w:rsidR="00BE6FAD" w:rsidRPr="00A5537A" w:rsidRDefault="00BE6FAD" w:rsidP="00EC64DD">
      <w:pPr>
        <w:pStyle w:val="ListParagraph"/>
        <w:tabs>
          <w:tab w:val="left" w:pos="360"/>
        </w:tabs>
        <w:ind w:left="360" w:hanging="360"/>
      </w:pPr>
    </w:p>
    <w:p w:rsidR="00BE6FAD" w:rsidRPr="00A5537A" w:rsidRDefault="00BE6FAD" w:rsidP="00EC64DD">
      <w:pPr>
        <w:numPr>
          <w:ilvl w:val="0"/>
          <w:numId w:val="5"/>
        </w:numPr>
        <w:tabs>
          <w:tab w:val="left" w:pos="360"/>
          <w:tab w:val="num" w:pos="450"/>
        </w:tabs>
        <w:suppressAutoHyphens/>
        <w:autoSpaceDE w:val="0"/>
        <w:ind w:left="360"/>
        <w:jc w:val="both"/>
        <w:rPr>
          <w:b/>
          <w:bCs/>
        </w:rPr>
      </w:pPr>
      <w:r w:rsidRPr="00A5537A">
        <w:t xml:space="preserve">It would normally be for UNMIK to take the appropriate measures in order to put an end to the </w:t>
      </w:r>
      <w:r w:rsidRPr="00A5537A">
        <w:rPr>
          <w:bCs/>
        </w:rPr>
        <w:t>violation</w:t>
      </w:r>
      <w:r w:rsidRPr="00A5537A">
        <w:t xml:space="preserve"> noted and to redress as far as possible the effects thereof. However, as the Panel noted above (see §</w:t>
      </w:r>
      <w:r w:rsidR="005D19AD" w:rsidRPr="00A5537A">
        <w:t xml:space="preserve"> </w:t>
      </w:r>
      <w:fldSimple w:instr=" REF _Ref346123927 \r \h  \* MERGEFORMAT ">
        <w:r w:rsidR="00A904C0" w:rsidRPr="00A904C0">
          <w:t>19</w:t>
        </w:r>
      </w:fldSimple>
      <w:r w:rsidRPr="00A904C0">
        <w:t>)</w:t>
      </w:r>
      <w:r w:rsidRPr="00A5537A">
        <w:t xml:space="preserve"> UNMIK’s  responsibility with regard to </w:t>
      </w:r>
      <w:r w:rsidRPr="00A5537A">
        <w:rPr>
          <w:bCs/>
        </w:rPr>
        <w:t>the</w:t>
      </w:r>
      <w:r w:rsidRPr="00A5537A">
        <w:t xml:space="preserv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w:t>
      </w:r>
      <w:r w:rsidR="00C91DB9">
        <w:t>nternational human rights law.</w:t>
      </w:r>
    </w:p>
    <w:p w:rsidR="00BE6FAD" w:rsidRPr="00A5537A" w:rsidRDefault="00BE6FAD" w:rsidP="00EC64DD">
      <w:pPr>
        <w:pStyle w:val="ListParagraph"/>
        <w:tabs>
          <w:tab w:val="left" w:pos="360"/>
        </w:tabs>
        <w:ind w:left="360" w:hanging="360"/>
      </w:pPr>
    </w:p>
    <w:p w:rsidR="00BE6FAD" w:rsidRPr="00A5537A" w:rsidRDefault="00BE6FAD" w:rsidP="00EC64DD">
      <w:pPr>
        <w:numPr>
          <w:ilvl w:val="0"/>
          <w:numId w:val="5"/>
        </w:numPr>
        <w:tabs>
          <w:tab w:val="left" w:pos="360"/>
          <w:tab w:val="num" w:pos="450"/>
        </w:tabs>
        <w:suppressAutoHyphens/>
        <w:autoSpaceDE w:val="0"/>
        <w:ind w:left="360"/>
        <w:jc w:val="both"/>
        <w:rPr>
          <w:b/>
          <w:bCs/>
        </w:rPr>
      </w:pPr>
      <w:r w:rsidRPr="00A5537A">
        <w:t xml:space="preserve">The Panel considers that this factual situation does not relieve UNMIK from its </w:t>
      </w:r>
      <w:r w:rsidRPr="00A5537A">
        <w:rPr>
          <w:bCs/>
        </w:rPr>
        <w:t>obligation</w:t>
      </w:r>
      <w:r w:rsidRPr="00A5537A">
        <w:t xml:space="preserve"> to </w:t>
      </w:r>
      <w:r w:rsidRPr="00A5537A">
        <w:rPr>
          <w:bCs/>
        </w:rPr>
        <w:t>redress</w:t>
      </w:r>
      <w:r w:rsidRPr="00A5537A">
        <w:t xml:space="preserve"> as far as possible the effects of the violations for which it is responsible.</w:t>
      </w:r>
    </w:p>
    <w:p w:rsidR="00BE6FAD" w:rsidRPr="00A5537A" w:rsidRDefault="00BE6FAD" w:rsidP="00BE6FAD">
      <w:pPr>
        <w:suppressAutoHyphens/>
        <w:autoSpaceDE w:val="0"/>
        <w:ind w:left="450"/>
        <w:jc w:val="both"/>
        <w:rPr>
          <w:b/>
          <w:bCs/>
        </w:rPr>
      </w:pPr>
    </w:p>
    <w:p w:rsidR="00BE6FAD" w:rsidRPr="00A5537A" w:rsidRDefault="00C42B65" w:rsidP="00BE6FAD">
      <w:pPr>
        <w:suppressAutoHyphens/>
        <w:autoSpaceDE w:val="0"/>
        <w:ind w:left="450"/>
        <w:jc w:val="both"/>
        <w:rPr>
          <w:b/>
          <w:bCs/>
        </w:rPr>
      </w:pPr>
      <w:r w:rsidRPr="00A5537A">
        <w:rPr>
          <w:b/>
          <w:bCs/>
        </w:rPr>
        <w:t>With respect to the complainant</w:t>
      </w:r>
      <w:r w:rsidR="00BE6FAD" w:rsidRPr="00A5537A">
        <w:rPr>
          <w:b/>
          <w:bCs/>
        </w:rPr>
        <w:t xml:space="preserve"> and the case the Panel considers </w:t>
      </w:r>
      <w:r w:rsidR="00641824" w:rsidRPr="00A5537A">
        <w:rPr>
          <w:b/>
          <w:bCs/>
        </w:rPr>
        <w:t xml:space="preserve">it </w:t>
      </w:r>
      <w:r w:rsidR="00BE6FAD" w:rsidRPr="00A5537A">
        <w:rPr>
          <w:b/>
          <w:bCs/>
        </w:rPr>
        <w:t>appropriate that UNMIK:</w:t>
      </w:r>
    </w:p>
    <w:p w:rsidR="00BE6FAD" w:rsidRPr="00A5537A" w:rsidRDefault="00BE6FAD" w:rsidP="00BE6FAD">
      <w:pPr>
        <w:pStyle w:val="ListParagraph"/>
        <w:rPr>
          <w:b/>
          <w:bCs/>
        </w:rPr>
      </w:pPr>
    </w:p>
    <w:p w:rsidR="00BE6FAD" w:rsidRPr="00A5537A" w:rsidRDefault="00BE6FAD" w:rsidP="00EC64DD">
      <w:pPr>
        <w:pStyle w:val="ListParagraph"/>
        <w:numPr>
          <w:ilvl w:val="2"/>
          <w:numId w:val="38"/>
        </w:numPr>
        <w:autoSpaceDE w:val="0"/>
        <w:ind w:left="720" w:hanging="270"/>
        <w:contextualSpacing/>
        <w:jc w:val="both"/>
        <w:rPr>
          <w:b/>
          <w:bCs/>
        </w:rPr>
      </w:pPr>
      <w:r w:rsidRPr="00A5537A">
        <w:t xml:space="preserve">In line with the case law of the European Court of Human Rights on situations of limited State jurisdiction (see </w:t>
      </w:r>
      <w:proofErr w:type="spellStart"/>
      <w:r w:rsidRPr="00A5537A">
        <w:t>ECtHR</w:t>
      </w:r>
      <w:proofErr w:type="spellEnd"/>
      <w:r w:rsidRPr="00A5537A">
        <w:t xml:space="preserve"> </w:t>
      </w:r>
      <w:r w:rsidR="00AD46F6" w:rsidRPr="00A5537A">
        <w:t>[GC]</w:t>
      </w:r>
      <w:r w:rsidRPr="00A5537A">
        <w:t xml:space="preserve">, </w:t>
      </w:r>
      <w:proofErr w:type="spellStart"/>
      <w:r w:rsidRPr="00A5537A">
        <w:rPr>
          <w:i/>
        </w:rPr>
        <w:t>Ilaşcu</w:t>
      </w:r>
      <w:proofErr w:type="spellEnd"/>
      <w:r w:rsidRPr="00A5537A">
        <w:rPr>
          <w:i/>
        </w:rPr>
        <w:t xml:space="preserve"> and Others v. Moldova and Russia</w:t>
      </w:r>
      <w:r w:rsidRPr="00A5537A">
        <w:t xml:space="preserve">, no. 48787/99, judgment of 8 July 2004, </w:t>
      </w:r>
      <w:r w:rsidR="00AD46F6" w:rsidRPr="00A5537A">
        <w:t xml:space="preserve">§ 333, </w:t>
      </w:r>
      <w:r w:rsidRPr="00A5537A">
        <w:t>ECHR 2004-</w:t>
      </w:r>
      <w:r w:rsidR="00AD46F6" w:rsidRPr="00A5537A">
        <w:t>VII</w:t>
      </w:r>
      <w:r w:rsidRPr="00A5537A">
        <w:t xml:space="preserve">; </w:t>
      </w:r>
      <w:proofErr w:type="spellStart"/>
      <w:r w:rsidRPr="00A5537A">
        <w:t>ECtHR</w:t>
      </w:r>
      <w:proofErr w:type="spellEnd"/>
      <w:r w:rsidRPr="00A5537A">
        <w:t xml:space="preserve">, </w:t>
      </w:r>
      <w:r w:rsidRPr="00A5537A">
        <w:rPr>
          <w:i/>
        </w:rPr>
        <w:t>Al-</w:t>
      </w:r>
      <w:proofErr w:type="spellStart"/>
      <w:r w:rsidRPr="00A5537A">
        <w:rPr>
          <w:i/>
        </w:rPr>
        <w:t>Saadoon</w:t>
      </w:r>
      <w:proofErr w:type="spellEnd"/>
      <w:r w:rsidRPr="00A5537A">
        <w:rPr>
          <w:i/>
        </w:rPr>
        <w:t xml:space="preserve"> and </w:t>
      </w:r>
      <w:proofErr w:type="spellStart"/>
      <w:r w:rsidRPr="00A5537A">
        <w:rPr>
          <w:i/>
        </w:rPr>
        <w:t>Mufdhi</w:t>
      </w:r>
      <w:proofErr w:type="spellEnd"/>
      <w:r w:rsidRPr="00A5537A">
        <w:rPr>
          <w:i/>
        </w:rPr>
        <w:t xml:space="preserve"> v. </w:t>
      </w:r>
      <w:r w:rsidR="00AD46F6" w:rsidRPr="00A5537A">
        <w:rPr>
          <w:i/>
        </w:rPr>
        <w:t xml:space="preserve">the </w:t>
      </w:r>
      <w:r w:rsidRPr="00A5537A">
        <w:rPr>
          <w:i/>
        </w:rPr>
        <w:t>United Kingdom</w:t>
      </w:r>
      <w:r w:rsidRPr="00A5537A">
        <w:t>, no. 61498/08, judgment of 2 March 2010, § 171</w:t>
      </w:r>
      <w:r w:rsidR="00AD46F6" w:rsidRPr="00A5537A">
        <w:t>, ECHR 2010 (extracts)</w:t>
      </w:r>
      <w:r w:rsidRPr="00A5537A">
        <w:t xml:space="preserve">; </w:t>
      </w:r>
      <w:proofErr w:type="spellStart"/>
      <w:r w:rsidRPr="00A5537A">
        <w:t>ECtHR</w:t>
      </w:r>
      <w:proofErr w:type="spellEnd"/>
      <w:r w:rsidRPr="00A5537A">
        <w:t xml:space="preserve"> </w:t>
      </w:r>
      <w:r w:rsidR="00AD46F6" w:rsidRPr="00A5537A">
        <w:t>[GC]</w:t>
      </w:r>
      <w:r w:rsidRPr="00A5537A">
        <w:t xml:space="preserve">, </w:t>
      </w:r>
      <w:proofErr w:type="spellStart"/>
      <w:r w:rsidRPr="00A5537A">
        <w:rPr>
          <w:i/>
        </w:rPr>
        <w:t>Catan</w:t>
      </w:r>
      <w:proofErr w:type="spellEnd"/>
      <w:r w:rsidRPr="00A5537A">
        <w:rPr>
          <w:i/>
        </w:rPr>
        <w:t xml:space="preserve"> and Others v. </w:t>
      </w:r>
      <w:r w:rsidR="00AD46F6" w:rsidRPr="00A5537A">
        <w:rPr>
          <w:i/>
        </w:rPr>
        <w:t xml:space="preserve">Republic of </w:t>
      </w:r>
      <w:r w:rsidRPr="00A5537A">
        <w:rPr>
          <w:i/>
        </w:rPr>
        <w:t>Moldova and Russia</w:t>
      </w:r>
      <w:r w:rsidR="00AD46F6" w:rsidRPr="00A5537A">
        <w:rPr>
          <w:i/>
        </w:rPr>
        <w:t xml:space="preserve"> </w:t>
      </w:r>
      <w:r w:rsidR="00AD46F6" w:rsidRPr="00A5537A">
        <w:t>[GC]</w:t>
      </w:r>
      <w:r w:rsidRPr="00A5537A">
        <w:t>, nos. 43370/04</w:t>
      </w:r>
      <w:r w:rsidR="00AD46F6" w:rsidRPr="00A5537A">
        <w:t xml:space="preserve"> and others,</w:t>
      </w:r>
      <w:r w:rsidRPr="00A5537A">
        <w:t xml:space="preserve"> judgment of 19 October 2012, § 109), must </w:t>
      </w:r>
      <w:proofErr w:type="spellStart"/>
      <w:r w:rsidRPr="00A5537A">
        <w:t>endeavour</w:t>
      </w:r>
      <w:proofErr w:type="spellEnd"/>
      <w:r w:rsidRPr="00A5537A">
        <w:t xml:space="preserve">, with all the diplomatic means available to it </w:t>
      </w:r>
      <w:r w:rsidRPr="00A5537A">
        <w:rPr>
          <w:i/>
        </w:rPr>
        <w:t>vis-à-vis</w:t>
      </w:r>
      <w:r w:rsidRPr="00A5537A">
        <w:t xml:space="preserve"> EULEX and the Kosovo authorities, to obtain assurances that the investigations concerning the case at issue will be continued in compliance with the requirements of an effective investigation as envisaged by Article 2, that the circumstances surrounding the </w:t>
      </w:r>
      <w:r w:rsidR="00294BF4">
        <w:t>abduction and killing</w:t>
      </w:r>
      <w:r w:rsidRPr="00A5537A">
        <w:t xml:space="preserve"> of </w:t>
      </w:r>
      <w:proofErr w:type="spellStart"/>
      <w:r w:rsidR="000F336F" w:rsidRPr="007F4E6B">
        <w:rPr>
          <w:lang w:val="en-GB"/>
        </w:rPr>
        <w:t>Borislav</w:t>
      </w:r>
      <w:proofErr w:type="spellEnd"/>
      <w:r w:rsidR="000F336F" w:rsidRPr="007F4E6B">
        <w:rPr>
          <w:lang w:val="en-GB"/>
        </w:rPr>
        <w:t xml:space="preserve"> </w:t>
      </w:r>
      <w:proofErr w:type="spellStart"/>
      <w:r w:rsidR="000F336F" w:rsidRPr="007F4E6B">
        <w:rPr>
          <w:lang w:val="en-GB"/>
        </w:rPr>
        <w:t>Pavić</w:t>
      </w:r>
      <w:proofErr w:type="spellEnd"/>
      <w:r w:rsidR="000F336F" w:rsidRPr="00A5537A">
        <w:t xml:space="preserve"> </w:t>
      </w:r>
      <w:r w:rsidRPr="00A5537A">
        <w:t>will be established and that perpetrators will be brought to justice; the complainant and/or other next-of-kin shall be informed of such proceedings and relevant documents shall be disclosed to them, as necessary;</w:t>
      </w:r>
    </w:p>
    <w:p w:rsidR="00BE6FAD" w:rsidRPr="00A5537A" w:rsidRDefault="00BE6FAD" w:rsidP="00BE6FAD">
      <w:pPr>
        <w:suppressAutoHyphens/>
        <w:autoSpaceDE w:val="0"/>
        <w:jc w:val="both"/>
        <w:rPr>
          <w:b/>
          <w:bCs/>
        </w:rPr>
      </w:pPr>
    </w:p>
    <w:p w:rsidR="00BE6FAD" w:rsidRPr="00A5537A" w:rsidRDefault="00BE6FAD" w:rsidP="00EC64DD">
      <w:pPr>
        <w:pStyle w:val="ListParagraph"/>
        <w:numPr>
          <w:ilvl w:val="2"/>
          <w:numId w:val="38"/>
        </w:numPr>
        <w:autoSpaceDE w:val="0"/>
        <w:ind w:left="720" w:hanging="270"/>
        <w:contextualSpacing/>
        <w:jc w:val="both"/>
        <w:rPr>
          <w:bCs/>
        </w:rPr>
      </w:pPr>
      <w:r w:rsidRPr="00A5537A">
        <w:rPr>
          <w:bCs/>
        </w:rPr>
        <w:t xml:space="preserve">Publicly acknowledges, within a reasonable time, responsibility with respect to UNMIK’s </w:t>
      </w:r>
      <w:r w:rsidRPr="00A5537A">
        <w:t>failure</w:t>
      </w:r>
      <w:r w:rsidRPr="00A5537A">
        <w:rPr>
          <w:bCs/>
        </w:rPr>
        <w:t xml:space="preserve"> to adequately investigate the </w:t>
      </w:r>
      <w:r w:rsidR="00294BF4">
        <w:rPr>
          <w:bCs/>
        </w:rPr>
        <w:t>abduction and killing</w:t>
      </w:r>
      <w:bookmarkStart w:id="31" w:name="_GoBack"/>
      <w:bookmarkEnd w:id="31"/>
      <w:r w:rsidRPr="00A5537A">
        <w:rPr>
          <w:bCs/>
        </w:rPr>
        <w:t xml:space="preserve"> of </w:t>
      </w:r>
      <w:proofErr w:type="spellStart"/>
      <w:r w:rsidR="000F336F" w:rsidRPr="007F4E6B">
        <w:rPr>
          <w:lang w:val="en-GB"/>
        </w:rPr>
        <w:t>Borislav</w:t>
      </w:r>
      <w:proofErr w:type="spellEnd"/>
      <w:r w:rsidR="000F336F" w:rsidRPr="007F4E6B">
        <w:rPr>
          <w:lang w:val="en-GB"/>
        </w:rPr>
        <w:t xml:space="preserve"> </w:t>
      </w:r>
      <w:proofErr w:type="spellStart"/>
      <w:r w:rsidR="000F336F" w:rsidRPr="007F4E6B">
        <w:rPr>
          <w:lang w:val="en-GB"/>
        </w:rPr>
        <w:t>Pavić</w:t>
      </w:r>
      <w:proofErr w:type="spellEnd"/>
      <w:r w:rsidR="000F336F" w:rsidRPr="00A5537A">
        <w:rPr>
          <w:bCs/>
        </w:rPr>
        <w:t xml:space="preserve"> </w:t>
      </w:r>
      <w:r w:rsidRPr="00A5537A">
        <w:rPr>
          <w:bCs/>
        </w:rPr>
        <w:t xml:space="preserve">and makes a public apology to the complainant and her family in this regard; </w:t>
      </w:r>
    </w:p>
    <w:p w:rsidR="00BE6FAD" w:rsidRPr="00A5537A" w:rsidRDefault="00BE6FAD" w:rsidP="00BE6FAD">
      <w:pPr>
        <w:suppressAutoHyphens/>
        <w:autoSpaceDE w:val="0"/>
        <w:jc w:val="both"/>
        <w:rPr>
          <w:bCs/>
        </w:rPr>
      </w:pPr>
    </w:p>
    <w:p w:rsidR="00BE6FAD" w:rsidRPr="00A5537A" w:rsidRDefault="00BE6FAD" w:rsidP="00EC64DD">
      <w:pPr>
        <w:pStyle w:val="ListParagraph"/>
        <w:numPr>
          <w:ilvl w:val="2"/>
          <w:numId w:val="38"/>
        </w:numPr>
        <w:autoSpaceDE w:val="0"/>
        <w:ind w:left="720" w:hanging="270"/>
        <w:contextualSpacing/>
        <w:jc w:val="both"/>
        <w:rPr>
          <w:bCs/>
        </w:rPr>
      </w:pPr>
      <w:r w:rsidRPr="00A5537A">
        <w:rPr>
          <w:bCs/>
        </w:rPr>
        <w:t>Takes appropriate steps towards payment of adequate compensation of the complainant for the mo</w:t>
      </w:r>
      <w:r w:rsidRPr="00A5537A">
        <w:t>r</w:t>
      </w:r>
      <w:r w:rsidRPr="00A5537A">
        <w:rPr>
          <w:bCs/>
        </w:rPr>
        <w:t>al damage suffered due to UNMIK’s failure to conduct an effective investigation as stated above.</w:t>
      </w:r>
    </w:p>
    <w:p w:rsidR="00BE6FAD" w:rsidRPr="00A5537A" w:rsidRDefault="00BE6FAD" w:rsidP="00BE6FAD">
      <w:pPr>
        <w:pStyle w:val="ListParagraph"/>
        <w:ind w:left="450"/>
        <w:rPr>
          <w:b/>
          <w:bCs/>
        </w:rPr>
      </w:pPr>
    </w:p>
    <w:p w:rsidR="00BE6FAD" w:rsidRPr="00A5537A" w:rsidRDefault="00BE6FAD" w:rsidP="00BE6FAD">
      <w:pPr>
        <w:suppressAutoHyphens/>
        <w:autoSpaceDE w:val="0"/>
        <w:ind w:left="450"/>
        <w:jc w:val="both"/>
        <w:rPr>
          <w:b/>
          <w:bCs/>
        </w:rPr>
      </w:pPr>
      <w:r w:rsidRPr="00A5537A">
        <w:rPr>
          <w:b/>
          <w:bCs/>
        </w:rPr>
        <w:t xml:space="preserve">The Panel also considers </w:t>
      </w:r>
      <w:r w:rsidR="00641824" w:rsidRPr="00A5537A">
        <w:rPr>
          <w:b/>
          <w:bCs/>
        </w:rPr>
        <w:t xml:space="preserve">it </w:t>
      </w:r>
      <w:r w:rsidRPr="00A5537A">
        <w:rPr>
          <w:b/>
          <w:bCs/>
        </w:rPr>
        <w:t>appropriate that UNMIK:</w:t>
      </w:r>
    </w:p>
    <w:p w:rsidR="00BE6FAD" w:rsidRPr="00A5537A" w:rsidRDefault="00BE6FAD" w:rsidP="00BE6FAD"/>
    <w:p w:rsidR="00BE6FAD" w:rsidRPr="00A5537A" w:rsidRDefault="00BE6FAD" w:rsidP="00EC64DD">
      <w:pPr>
        <w:pStyle w:val="ListParagraph"/>
        <w:numPr>
          <w:ilvl w:val="2"/>
          <w:numId w:val="38"/>
        </w:numPr>
        <w:autoSpaceDE w:val="0"/>
        <w:ind w:left="720" w:hanging="270"/>
        <w:contextualSpacing/>
        <w:jc w:val="both"/>
      </w:pPr>
      <w:r w:rsidRPr="00A5537A">
        <w:t xml:space="preserve">In line with the UN General Assembly Resolution on “Basic Principles and Guidelines on the Right to a Remedy and Reparation for Victims of Gross Violations of </w:t>
      </w:r>
      <w:r w:rsidRPr="00A5537A">
        <w:rPr>
          <w:bCs/>
        </w:rPr>
        <w:t>International</w:t>
      </w:r>
      <w:r w:rsidRPr="00A5537A">
        <w:t xml:space="preserve"> Human Rights Law and Serious Violations of International Humanitarian Law” (A/Res/60/147, 21 March 2006), takes appropriate steps,  through other UN affiliated entities operating in Kosovo, local bodies and non-governmental </w:t>
      </w:r>
      <w:proofErr w:type="spellStart"/>
      <w:r w:rsidRPr="00A5537A">
        <w:t>organisations</w:t>
      </w:r>
      <w:proofErr w:type="spellEnd"/>
      <w:r w:rsidRPr="00A5537A">
        <w:t xml:space="preserve">, for the </w:t>
      </w:r>
      <w:proofErr w:type="spellStart"/>
      <w:r w:rsidRPr="00A5537A">
        <w:t>realisation</w:t>
      </w:r>
      <w:proofErr w:type="spellEnd"/>
      <w:r w:rsidRPr="00A5537A">
        <w:t xml:space="preserve"> of a full and comprehensive reparation </w:t>
      </w:r>
      <w:proofErr w:type="spellStart"/>
      <w:r w:rsidRPr="00A5537A">
        <w:t>programme</w:t>
      </w:r>
      <w:proofErr w:type="spellEnd"/>
      <w:r w:rsidRPr="00A5537A">
        <w:t>, including restitution compensation, rehabilitation, satisfaction and guarantees of non-repetition, for the victims from all communities of serious violations of human rights which occurred during and in the aftermath of the Kosovo conflict;</w:t>
      </w:r>
    </w:p>
    <w:p w:rsidR="002E28B8" w:rsidRPr="00A5537A" w:rsidRDefault="002E28B8" w:rsidP="006D0318"/>
    <w:p w:rsidR="00BE6FAD" w:rsidRPr="00A5537A" w:rsidRDefault="00BE6FAD" w:rsidP="00EC64DD">
      <w:pPr>
        <w:pStyle w:val="ListParagraph"/>
        <w:numPr>
          <w:ilvl w:val="2"/>
          <w:numId w:val="38"/>
        </w:numPr>
        <w:autoSpaceDE w:val="0"/>
        <w:ind w:left="720" w:hanging="270"/>
        <w:contextualSpacing/>
        <w:jc w:val="both"/>
      </w:pPr>
      <w:r w:rsidRPr="00A5537A">
        <w:t xml:space="preserve">Takes appropriate steps before competent bodies of the United Nations, including the UN </w:t>
      </w:r>
      <w:r w:rsidRPr="00A5537A">
        <w:rPr>
          <w:bCs/>
        </w:rPr>
        <w:t>Secretary</w:t>
      </w:r>
      <w:r w:rsidRPr="00A5537A">
        <w:t>-General,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074F08" w:rsidRPr="00A5537A">
        <w:t>tive and independent monitoring.</w:t>
      </w:r>
    </w:p>
    <w:p w:rsidR="00BE6FAD" w:rsidRPr="00A5537A" w:rsidRDefault="00BE6FAD" w:rsidP="00BE6FAD"/>
    <w:p w:rsidR="002E28B8" w:rsidRPr="00A5537A" w:rsidRDefault="002E28B8" w:rsidP="00BE6FAD">
      <w:pPr>
        <w:pStyle w:val="Normal1"/>
        <w:spacing w:before="0" w:beforeAutospacing="0" w:after="0" w:afterAutospacing="0"/>
        <w:jc w:val="both"/>
        <w:rPr>
          <w:b/>
          <w:lang w:val="en-GB"/>
        </w:rPr>
      </w:pPr>
    </w:p>
    <w:p w:rsidR="00BE6FAD" w:rsidRDefault="00BE6FAD" w:rsidP="00BE6FAD">
      <w:pPr>
        <w:pStyle w:val="Normal1"/>
        <w:spacing w:before="0" w:beforeAutospacing="0" w:after="0" w:afterAutospacing="0"/>
        <w:jc w:val="both"/>
        <w:rPr>
          <w:b/>
          <w:lang w:val="en-GB"/>
        </w:rPr>
      </w:pPr>
    </w:p>
    <w:p w:rsidR="00A904C0" w:rsidRPr="00A5537A" w:rsidRDefault="00A904C0" w:rsidP="00BE6FAD">
      <w:pPr>
        <w:pStyle w:val="Normal1"/>
        <w:spacing w:before="0" w:beforeAutospacing="0" w:after="0" w:afterAutospacing="0"/>
        <w:jc w:val="both"/>
        <w:rPr>
          <w:b/>
          <w:lang w:val="en-GB"/>
        </w:rPr>
      </w:pPr>
    </w:p>
    <w:p w:rsidR="00BE6FAD" w:rsidRPr="00A5537A" w:rsidRDefault="00BE6FAD" w:rsidP="00BE6FAD">
      <w:pPr>
        <w:pStyle w:val="Normal1"/>
        <w:spacing w:before="0" w:beforeAutospacing="0" w:after="0" w:afterAutospacing="0"/>
        <w:jc w:val="both"/>
        <w:rPr>
          <w:b/>
          <w:lang w:val="en-GB"/>
        </w:rPr>
      </w:pPr>
      <w:r w:rsidRPr="00A5537A">
        <w:rPr>
          <w:b/>
          <w:lang w:val="en-GB"/>
        </w:rPr>
        <w:t>FOR THESE REASONS,</w:t>
      </w:r>
    </w:p>
    <w:p w:rsidR="00BE6FAD" w:rsidRPr="00A5537A" w:rsidRDefault="00BE6FAD" w:rsidP="00BE6FAD">
      <w:pPr>
        <w:pStyle w:val="Normal1"/>
        <w:spacing w:before="0" w:beforeAutospacing="0" w:after="0" w:afterAutospacing="0"/>
        <w:jc w:val="both"/>
        <w:rPr>
          <w:b/>
          <w:lang w:val="en-GB"/>
        </w:rPr>
      </w:pPr>
    </w:p>
    <w:p w:rsidR="00BE6FAD" w:rsidRPr="00A5537A" w:rsidRDefault="00BE6FAD" w:rsidP="00BE6FAD">
      <w:pPr>
        <w:autoSpaceDE w:val="0"/>
        <w:autoSpaceDN w:val="0"/>
        <w:adjustRightInd w:val="0"/>
        <w:jc w:val="both"/>
      </w:pPr>
      <w:r w:rsidRPr="00A5537A">
        <w:t>The Panel, unanimously,</w:t>
      </w:r>
    </w:p>
    <w:p w:rsidR="00BE6FAD" w:rsidRPr="00A5537A" w:rsidRDefault="00BE6FAD" w:rsidP="00BE6FAD">
      <w:pPr>
        <w:autoSpaceDE w:val="0"/>
        <w:autoSpaceDN w:val="0"/>
        <w:adjustRightInd w:val="0"/>
        <w:jc w:val="both"/>
      </w:pPr>
    </w:p>
    <w:p w:rsidR="002E28B8" w:rsidRPr="00A5537A" w:rsidRDefault="002E28B8" w:rsidP="00BE6FAD">
      <w:pPr>
        <w:autoSpaceDE w:val="0"/>
        <w:autoSpaceDN w:val="0"/>
        <w:adjustRightInd w:val="0"/>
        <w:jc w:val="both"/>
      </w:pPr>
    </w:p>
    <w:p w:rsidR="00BE6FAD" w:rsidRPr="00A5537A" w:rsidRDefault="0067077C" w:rsidP="0067077C">
      <w:pPr>
        <w:pStyle w:val="JuList"/>
        <w:ind w:left="360" w:firstLine="0"/>
        <w:rPr>
          <w:b/>
        </w:rPr>
      </w:pPr>
      <w:r>
        <w:rPr>
          <w:b/>
        </w:rPr>
        <w:t>-</w:t>
      </w:r>
      <w:r w:rsidR="00BE6FAD" w:rsidRPr="00A5537A">
        <w:rPr>
          <w:b/>
        </w:rPr>
        <w:t>FINDS THAT THERE HAS BEEN A VIOLATION OF THE PROCEDURAL OBLIGATION UNDER ARTICLE 2 OF THE EUROPEAN CONVENTION ON HUMAN RIGHTS;</w:t>
      </w:r>
    </w:p>
    <w:p w:rsidR="002E28B8" w:rsidRPr="00A5537A" w:rsidRDefault="002E28B8" w:rsidP="00BE6FAD">
      <w:pPr>
        <w:pStyle w:val="JuList"/>
        <w:ind w:left="0" w:firstLine="0"/>
        <w:rPr>
          <w:b/>
          <w:bCs/>
          <w:lang w:eastAsia="en-US"/>
        </w:rPr>
      </w:pPr>
    </w:p>
    <w:p w:rsidR="00BE6FAD" w:rsidRPr="00A5537A" w:rsidRDefault="0067077C" w:rsidP="0067077C">
      <w:pPr>
        <w:pStyle w:val="JuList"/>
        <w:ind w:left="360" w:firstLine="0"/>
        <w:rPr>
          <w:b/>
          <w:bCs/>
          <w:lang w:eastAsia="en-US"/>
        </w:rPr>
      </w:pPr>
      <w:r>
        <w:rPr>
          <w:b/>
        </w:rPr>
        <w:t>-</w:t>
      </w:r>
      <w:r w:rsidR="00BE6FAD" w:rsidRPr="00A5537A">
        <w:rPr>
          <w:b/>
        </w:rPr>
        <w:t>RECOMMENDS</w:t>
      </w:r>
      <w:r w:rsidR="00BE6FAD" w:rsidRPr="00A5537A">
        <w:rPr>
          <w:b/>
          <w:bCs/>
          <w:lang w:eastAsia="en-US"/>
        </w:rPr>
        <w:t xml:space="preserve"> THAT UNMIK:</w:t>
      </w:r>
    </w:p>
    <w:p w:rsidR="00BE6FAD" w:rsidRPr="00A5537A" w:rsidRDefault="00BE6FAD" w:rsidP="00BE6FAD">
      <w:pPr>
        <w:pStyle w:val="JuList"/>
        <w:ind w:left="0" w:firstLine="0"/>
        <w:rPr>
          <w:b/>
          <w:bCs/>
          <w:lang w:eastAsia="en-US"/>
        </w:rPr>
      </w:pPr>
    </w:p>
    <w:p w:rsidR="00BE6FAD" w:rsidRPr="00A5537A" w:rsidRDefault="00BE6FAD" w:rsidP="00BE6FAD">
      <w:pPr>
        <w:pStyle w:val="JuList"/>
        <w:numPr>
          <w:ilvl w:val="0"/>
          <w:numId w:val="37"/>
        </w:numPr>
        <w:ind w:left="720"/>
        <w:rPr>
          <w:b/>
          <w:bCs/>
          <w:lang w:eastAsia="en-US"/>
        </w:rPr>
      </w:pPr>
      <w:r w:rsidRPr="00A5537A">
        <w:rPr>
          <w:b/>
          <w:bCs/>
          <w:lang w:eastAsia="en-US"/>
        </w:rPr>
        <w:t xml:space="preserve">URGES EULEX AND OTHER COMPETENT AUTHORITIES IN KOSOVO TO TAKE ALL POSSIBLE STEPS IN ORDER TO ENSURE THAT THE CRIMINAL INVESTIGATION INTO THE </w:t>
      </w:r>
      <w:r w:rsidR="006D0318" w:rsidRPr="007F4E6B">
        <w:rPr>
          <w:b/>
          <w:bCs/>
          <w:lang w:eastAsia="en-US"/>
        </w:rPr>
        <w:t>ABDUCTION AND KILLING</w:t>
      </w:r>
      <w:r w:rsidRPr="00A5537A">
        <w:rPr>
          <w:b/>
          <w:bCs/>
          <w:lang w:eastAsia="en-US"/>
        </w:rPr>
        <w:t xml:space="preserve"> OF THE COMPLAINANT’S </w:t>
      </w:r>
      <w:r w:rsidR="0067077C">
        <w:rPr>
          <w:b/>
          <w:bCs/>
          <w:lang w:eastAsia="en-US"/>
        </w:rPr>
        <w:t xml:space="preserve">HUSBAND </w:t>
      </w:r>
      <w:r w:rsidRPr="00A5537A">
        <w:rPr>
          <w:b/>
          <w:bCs/>
          <w:lang w:eastAsia="en-US"/>
        </w:rPr>
        <w:t>IS CONTINUED IN COMPLIANCE WITH ARTICLE 2 OF THE ECHR AND THAT THE PERPETRATORS ARE BROUGHT TO JUSTICE;</w:t>
      </w:r>
    </w:p>
    <w:p w:rsidR="00BE6FAD" w:rsidRPr="00A5537A" w:rsidRDefault="00BE6FAD" w:rsidP="00BE6FAD">
      <w:pPr>
        <w:pStyle w:val="JuList"/>
        <w:ind w:left="360" w:firstLine="0"/>
        <w:rPr>
          <w:b/>
          <w:bCs/>
          <w:lang w:eastAsia="en-US"/>
        </w:rPr>
      </w:pPr>
    </w:p>
    <w:p w:rsidR="00BE6FAD" w:rsidRPr="00A5537A" w:rsidRDefault="00BE6FAD" w:rsidP="00BE6FAD">
      <w:pPr>
        <w:pStyle w:val="JuList"/>
        <w:numPr>
          <w:ilvl w:val="0"/>
          <w:numId w:val="37"/>
        </w:numPr>
        <w:ind w:left="720"/>
        <w:rPr>
          <w:b/>
          <w:bCs/>
          <w:lang w:eastAsia="en-US"/>
        </w:rPr>
      </w:pPr>
      <w:r w:rsidRPr="00A5537A">
        <w:rPr>
          <w:b/>
          <w:bCs/>
          <w:lang w:eastAsia="en-US"/>
        </w:rPr>
        <w:t xml:space="preserve">PUBLICLY ACKNOWLEDGES RESPONSIBILITY FOR ITS FAILURE TO CONDUCT AN EFFECTIVE INVESTIGATION INTO THE </w:t>
      </w:r>
      <w:r w:rsidR="006D0318" w:rsidRPr="007F4E6B">
        <w:rPr>
          <w:b/>
          <w:bCs/>
          <w:lang w:eastAsia="en-US"/>
        </w:rPr>
        <w:t>ABDUCTION AND KILLING</w:t>
      </w:r>
      <w:r w:rsidR="006D0318" w:rsidRPr="00A5537A">
        <w:rPr>
          <w:b/>
          <w:bCs/>
          <w:lang w:eastAsia="en-US"/>
        </w:rPr>
        <w:t xml:space="preserve"> </w:t>
      </w:r>
      <w:r w:rsidRPr="00A5537A">
        <w:rPr>
          <w:b/>
          <w:bCs/>
          <w:lang w:eastAsia="en-US"/>
        </w:rPr>
        <w:t xml:space="preserve">OF THE COMPLAINANT’S </w:t>
      </w:r>
      <w:r w:rsidR="0067077C">
        <w:rPr>
          <w:b/>
          <w:bCs/>
          <w:lang w:eastAsia="en-US"/>
        </w:rPr>
        <w:t xml:space="preserve">HUSBAND </w:t>
      </w:r>
      <w:r w:rsidRPr="00A5537A">
        <w:rPr>
          <w:b/>
          <w:bCs/>
          <w:lang w:eastAsia="en-US"/>
        </w:rPr>
        <w:t xml:space="preserve">AND MAKES A PUBLIC APOLOGY TO THE COMPLAINANT; </w:t>
      </w:r>
    </w:p>
    <w:p w:rsidR="00BE6FAD" w:rsidRPr="00A5537A" w:rsidRDefault="00BE6FAD" w:rsidP="00BE6FAD">
      <w:pPr>
        <w:pStyle w:val="JuList"/>
        <w:ind w:left="360" w:firstLine="0"/>
        <w:rPr>
          <w:b/>
          <w:bCs/>
          <w:lang w:eastAsia="en-US"/>
        </w:rPr>
      </w:pPr>
    </w:p>
    <w:p w:rsidR="00BE6FAD" w:rsidRPr="00A5537A" w:rsidRDefault="00BE6FAD" w:rsidP="00BE6FAD">
      <w:pPr>
        <w:pStyle w:val="JuList"/>
        <w:numPr>
          <w:ilvl w:val="0"/>
          <w:numId w:val="37"/>
        </w:numPr>
        <w:ind w:left="720"/>
        <w:rPr>
          <w:b/>
          <w:bCs/>
          <w:lang w:eastAsia="en-US"/>
        </w:rPr>
      </w:pPr>
      <w:r w:rsidRPr="00A5537A">
        <w:rPr>
          <w:b/>
          <w:bCs/>
          <w:caps/>
          <w:lang w:val="en-US" w:eastAsia="en-US"/>
        </w:rPr>
        <w:t xml:space="preserve">TAKES </w:t>
      </w:r>
      <w:r w:rsidRPr="00A5537A">
        <w:rPr>
          <w:b/>
          <w:bCs/>
          <w:lang w:eastAsia="en-US"/>
        </w:rPr>
        <w:t>APPROPRIATE</w:t>
      </w:r>
      <w:r w:rsidRPr="00A5537A">
        <w:rPr>
          <w:b/>
          <w:bCs/>
          <w:caps/>
          <w:lang w:val="en-US" w:eastAsia="en-US"/>
        </w:rPr>
        <w:t xml:space="preserve"> STEPS TOWARDS PAYMENT OF ADEQUATE COMPENSATION OF THE COMPLAINANT FOR MORAL DAMAGE</w:t>
      </w:r>
      <w:r w:rsidRPr="00A5537A">
        <w:rPr>
          <w:b/>
          <w:bCs/>
          <w:lang w:eastAsia="en-US"/>
        </w:rPr>
        <w:t>;</w:t>
      </w:r>
    </w:p>
    <w:p w:rsidR="00BE6FAD" w:rsidRPr="00A5537A" w:rsidRDefault="00BE6FAD" w:rsidP="00BE6FAD">
      <w:pPr>
        <w:pStyle w:val="JuList"/>
        <w:ind w:left="0" w:firstLine="0"/>
        <w:rPr>
          <w:b/>
          <w:bCs/>
          <w:lang w:eastAsia="en-US"/>
        </w:rPr>
      </w:pPr>
    </w:p>
    <w:p w:rsidR="00BE6FAD" w:rsidRPr="00A5537A" w:rsidRDefault="00BE6FAD" w:rsidP="00BE6FAD">
      <w:pPr>
        <w:pStyle w:val="JuList"/>
        <w:numPr>
          <w:ilvl w:val="0"/>
          <w:numId w:val="37"/>
        </w:numPr>
        <w:ind w:left="720"/>
        <w:rPr>
          <w:b/>
          <w:bCs/>
          <w:lang w:eastAsia="en-US"/>
        </w:rPr>
      </w:pPr>
      <w:r w:rsidRPr="00A5537A">
        <w:rPr>
          <w:b/>
          <w:bCs/>
          <w:lang w:eastAsia="en-US"/>
        </w:rPr>
        <w:t>TAKES APPROPRIATE STEPS TOWARDS THE REALISATION OF A FULL AND COMPREHENSIVE REPARATION PROGRAMME;</w:t>
      </w:r>
    </w:p>
    <w:p w:rsidR="00BE6FAD" w:rsidRPr="00A5537A" w:rsidRDefault="00BE6FAD" w:rsidP="00BE6FAD">
      <w:pPr>
        <w:pStyle w:val="ListParagraph"/>
        <w:rPr>
          <w:b/>
          <w:bCs/>
          <w:lang w:eastAsia="en-US"/>
        </w:rPr>
      </w:pPr>
    </w:p>
    <w:p w:rsidR="00BE6FAD" w:rsidRPr="00A5537A" w:rsidRDefault="00BE6FAD" w:rsidP="00BE6FAD">
      <w:pPr>
        <w:pStyle w:val="JuList"/>
        <w:numPr>
          <w:ilvl w:val="0"/>
          <w:numId w:val="37"/>
        </w:numPr>
        <w:ind w:left="720"/>
        <w:rPr>
          <w:b/>
          <w:bCs/>
          <w:lang w:eastAsia="en-US"/>
        </w:rPr>
      </w:pPr>
      <w:r w:rsidRPr="00A5537A">
        <w:rPr>
          <w:b/>
          <w:bCs/>
          <w:lang w:eastAsia="en-US"/>
        </w:rPr>
        <w:t>TAKES APPROPRIATE STEPS AT THE UNITED NATIONS AS A GUARANTEE OF NON</w:t>
      </w:r>
      <w:r w:rsidR="004A76CF" w:rsidRPr="004A76CF">
        <w:rPr>
          <w:b/>
          <w:bCs/>
          <w:lang w:val="en-US" w:eastAsia="en-US"/>
        </w:rPr>
        <w:t>-</w:t>
      </w:r>
      <w:r w:rsidRPr="00A5537A">
        <w:rPr>
          <w:b/>
          <w:bCs/>
          <w:lang w:eastAsia="en-US"/>
        </w:rPr>
        <w:t>REPETITION;</w:t>
      </w:r>
    </w:p>
    <w:p w:rsidR="002E28B8" w:rsidRPr="00A5537A" w:rsidRDefault="002E28B8" w:rsidP="002E28B8">
      <w:pPr>
        <w:pStyle w:val="ListParagraph"/>
        <w:rPr>
          <w:b/>
          <w:bCs/>
          <w:lang w:eastAsia="en-US"/>
        </w:rPr>
      </w:pPr>
    </w:p>
    <w:p w:rsidR="00BE6FAD" w:rsidRPr="00A5537A" w:rsidRDefault="00BE6FAD" w:rsidP="00BE6FAD">
      <w:pPr>
        <w:pStyle w:val="JuList"/>
        <w:numPr>
          <w:ilvl w:val="0"/>
          <w:numId w:val="37"/>
        </w:numPr>
        <w:ind w:left="720"/>
        <w:rPr>
          <w:b/>
          <w:bCs/>
          <w:lang w:eastAsia="en-US"/>
        </w:rPr>
      </w:pPr>
      <w:r w:rsidRPr="00A5537A">
        <w:rPr>
          <w:b/>
          <w:bCs/>
          <w:lang w:eastAsia="en-US"/>
        </w:rPr>
        <w:t>TAKES IMMEDIATE AND EFFECTIVE MEASURES TO IMPLEMENT THE RECOMMENDATIONS OF THE PANEL AND TO INFORM THE COMPLAINANT AND THE PANEL ABOUT FURTHER DEVELOPMENTS IN THIS CASE.</w:t>
      </w:r>
    </w:p>
    <w:p w:rsidR="00BE6FAD" w:rsidRPr="00A5537A" w:rsidRDefault="00BE6FAD" w:rsidP="00BE6FAD"/>
    <w:p w:rsidR="00BE6FAD" w:rsidRPr="00A5537A" w:rsidRDefault="00BE6FAD" w:rsidP="00BE6FAD">
      <w:pPr>
        <w:tabs>
          <w:tab w:val="left" w:pos="357"/>
        </w:tabs>
        <w:autoSpaceDE w:val="0"/>
        <w:jc w:val="both"/>
      </w:pPr>
    </w:p>
    <w:p w:rsidR="00BE6FAD" w:rsidRPr="00A5537A" w:rsidRDefault="00BE6FAD" w:rsidP="00BE6FAD">
      <w:pPr>
        <w:tabs>
          <w:tab w:val="left" w:pos="357"/>
        </w:tabs>
        <w:autoSpaceDE w:val="0"/>
        <w:jc w:val="both"/>
      </w:pPr>
    </w:p>
    <w:p w:rsidR="00BE6FAD" w:rsidRPr="00D023BC" w:rsidRDefault="00BE6FAD" w:rsidP="00BE6FAD">
      <w:pPr>
        <w:tabs>
          <w:tab w:val="left" w:pos="357"/>
        </w:tabs>
        <w:autoSpaceDE w:val="0"/>
        <w:jc w:val="both"/>
      </w:pPr>
    </w:p>
    <w:p w:rsidR="008655D3" w:rsidRPr="00D023BC" w:rsidRDefault="008655D3" w:rsidP="00BE6FAD">
      <w:pPr>
        <w:tabs>
          <w:tab w:val="left" w:pos="357"/>
        </w:tabs>
        <w:autoSpaceDE w:val="0"/>
        <w:jc w:val="both"/>
      </w:pPr>
    </w:p>
    <w:p w:rsidR="00BE6FAD" w:rsidRPr="00A5537A" w:rsidRDefault="00BE6FAD" w:rsidP="00BE6FAD">
      <w:pPr>
        <w:tabs>
          <w:tab w:val="left" w:pos="357"/>
        </w:tabs>
        <w:autoSpaceDE w:val="0"/>
        <w:jc w:val="both"/>
      </w:pPr>
    </w:p>
    <w:p w:rsidR="00B130F6" w:rsidRPr="00A5537A" w:rsidRDefault="00BE6FAD" w:rsidP="00B130F6">
      <w:pPr>
        <w:autoSpaceDE w:val="0"/>
      </w:pPr>
      <w:proofErr w:type="spellStart"/>
      <w:r w:rsidRPr="00A5537A">
        <w:t>Andrey</w:t>
      </w:r>
      <w:proofErr w:type="spellEnd"/>
      <w:r w:rsidRPr="00A5537A">
        <w:t xml:space="preserve"> ANTONOV</w:t>
      </w:r>
      <w:r w:rsidRPr="00A5537A">
        <w:tab/>
      </w:r>
      <w:r w:rsidRPr="00A5537A">
        <w:tab/>
      </w:r>
      <w:r w:rsidRPr="00A5537A">
        <w:tab/>
      </w:r>
      <w:r w:rsidRPr="00A5537A">
        <w:tab/>
      </w:r>
      <w:r w:rsidRPr="00A5537A">
        <w:tab/>
      </w:r>
      <w:r w:rsidRPr="00A5537A">
        <w:tab/>
      </w:r>
      <w:r w:rsidRPr="00A5537A">
        <w:tab/>
      </w:r>
      <w:proofErr w:type="spellStart"/>
      <w:r w:rsidRPr="00A5537A">
        <w:t>Marek</w:t>
      </w:r>
      <w:proofErr w:type="spellEnd"/>
      <w:r w:rsidRPr="00A5537A">
        <w:t xml:space="preserve"> NOWICKI</w:t>
      </w:r>
    </w:p>
    <w:p w:rsidR="00BE6FAD" w:rsidRPr="00A5537A" w:rsidRDefault="00B130F6" w:rsidP="00B130F6">
      <w:pPr>
        <w:autoSpaceDE w:val="0"/>
      </w:pPr>
      <w:r w:rsidRPr="00A5537A">
        <w:t xml:space="preserve">  </w:t>
      </w:r>
      <w:r w:rsidR="00BE6FAD" w:rsidRPr="00A5537A">
        <w:t xml:space="preserve">Executive Officer </w:t>
      </w:r>
      <w:r w:rsidR="00BE6FAD" w:rsidRPr="00A5537A">
        <w:tab/>
      </w:r>
      <w:r w:rsidR="00BE6FAD" w:rsidRPr="00A5537A">
        <w:tab/>
      </w:r>
      <w:r w:rsidR="00BE6FAD" w:rsidRPr="00A5537A">
        <w:tab/>
      </w:r>
      <w:r w:rsidRPr="00A5537A">
        <w:tab/>
      </w:r>
      <w:r w:rsidRPr="00A5537A">
        <w:tab/>
      </w:r>
      <w:r w:rsidRPr="00A5537A">
        <w:tab/>
      </w:r>
      <w:r w:rsidRPr="00A5537A">
        <w:tab/>
      </w:r>
      <w:r w:rsidR="003E2A7A" w:rsidRPr="00A5537A">
        <w:t xml:space="preserve"> </w:t>
      </w:r>
      <w:r w:rsidR="00BE6FAD" w:rsidRPr="00A5537A">
        <w:t>Presiding Member</w:t>
      </w:r>
    </w:p>
    <w:p w:rsidR="00284160" w:rsidRPr="00A5537A" w:rsidRDefault="00284160" w:rsidP="008655D3">
      <w:pPr>
        <w:jc w:val="right"/>
        <w:rPr>
          <w:i/>
        </w:rPr>
      </w:pPr>
      <w:r w:rsidRPr="00A5537A">
        <w:br w:type="page"/>
      </w:r>
      <w:r w:rsidRPr="00A5537A">
        <w:rPr>
          <w:i/>
        </w:rPr>
        <w:t>Annex</w:t>
      </w:r>
    </w:p>
    <w:p w:rsidR="00284160" w:rsidRPr="00A5537A" w:rsidRDefault="00284160" w:rsidP="00284160"/>
    <w:p w:rsidR="00284160" w:rsidRPr="00A5537A" w:rsidRDefault="00284160" w:rsidP="00284160">
      <w:pPr>
        <w:jc w:val="center"/>
      </w:pPr>
      <w:r w:rsidRPr="00A5537A">
        <w:rPr>
          <w:b/>
        </w:rPr>
        <w:t>ABBREVIATIONS AND ACRONYMS</w:t>
      </w:r>
    </w:p>
    <w:p w:rsidR="00284160" w:rsidRPr="00A5537A" w:rsidRDefault="00284160" w:rsidP="00284160">
      <w:pPr>
        <w:autoSpaceDE w:val="0"/>
        <w:jc w:val="both"/>
      </w:pPr>
    </w:p>
    <w:p w:rsidR="00284160" w:rsidRPr="00A5537A" w:rsidRDefault="00284160" w:rsidP="00284160">
      <w:pPr>
        <w:autoSpaceDE w:val="0"/>
        <w:jc w:val="both"/>
      </w:pPr>
    </w:p>
    <w:p w:rsidR="00284160" w:rsidRPr="00A5537A" w:rsidRDefault="00284160" w:rsidP="00284160">
      <w:pPr>
        <w:autoSpaceDE w:val="0"/>
        <w:spacing w:line="276" w:lineRule="auto"/>
        <w:ind w:left="540"/>
        <w:jc w:val="both"/>
      </w:pPr>
      <w:r w:rsidRPr="00A5537A">
        <w:rPr>
          <w:b/>
        </w:rPr>
        <w:t xml:space="preserve">CCIU </w:t>
      </w:r>
      <w:r w:rsidRPr="00A5537A">
        <w:t>- Central Criminal Investigation Unit</w:t>
      </w:r>
    </w:p>
    <w:p w:rsidR="00284160" w:rsidRPr="00A5537A" w:rsidRDefault="00284160" w:rsidP="00284160">
      <w:pPr>
        <w:autoSpaceDE w:val="0"/>
        <w:spacing w:line="276" w:lineRule="auto"/>
        <w:ind w:left="540"/>
        <w:jc w:val="both"/>
      </w:pPr>
      <w:r w:rsidRPr="00A5537A">
        <w:rPr>
          <w:b/>
        </w:rPr>
        <w:t xml:space="preserve">DOJ </w:t>
      </w:r>
      <w:r w:rsidRPr="00A5537A">
        <w:t>- Department of Justice</w:t>
      </w:r>
    </w:p>
    <w:p w:rsidR="00284160" w:rsidRPr="00A5537A" w:rsidRDefault="00284160" w:rsidP="00284160">
      <w:pPr>
        <w:autoSpaceDE w:val="0"/>
        <w:spacing w:line="276" w:lineRule="auto"/>
        <w:ind w:left="540"/>
        <w:jc w:val="both"/>
      </w:pPr>
      <w:r w:rsidRPr="00A5537A">
        <w:rPr>
          <w:b/>
        </w:rPr>
        <w:t>DPPO</w:t>
      </w:r>
      <w:r w:rsidRPr="00A5537A">
        <w:t xml:space="preserve"> - District Public Prosecutor’s Office</w:t>
      </w:r>
    </w:p>
    <w:p w:rsidR="00284160" w:rsidRPr="00A5537A" w:rsidRDefault="00284160" w:rsidP="00284160">
      <w:pPr>
        <w:autoSpaceDE w:val="0"/>
        <w:spacing w:line="276" w:lineRule="auto"/>
        <w:ind w:left="540"/>
        <w:jc w:val="both"/>
      </w:pPr>
      <w:r w:rsidRPr="00A5537A">
        <w:rPr>
          <w:b/>
        </w:rPr>
        <w:t>ECHR</w:t>
      </w:r>
      <w:r w:rsidRPr="00A5537A">
        <w:t xml:space="preserve"> - European Convention on Human Rights</w:t>
      </w:r>
    </w:p>
    <w:p w:rsidR="00284160" w:rsidRPr="00A5537A" w:rsidRDefault="00284160" w:rsidP="00284160">
      <w:pPr>
        <w:autoSpaceDE w:val="0"/>
        <w:spacing w:line="276" w:lineRule="auto"/>
        <w:ind w:left="540"/>
        <w:jc w:val="both"/>
      </w:pPr>
      <w:proofErr w:type="spellStart"/>
      <w:r w:rsidRPr="00A5537A">
        <w:rPr>
          <w:b/>
        </w:rPr>
        <w:t>ECtHR</w:t>
      </w:r>
      <w:proofErr w:type="spellEnd"/>
      <w:r w:rsidRPr="00A5537A">
        <w:rPr>
          <w:b/>
        </w:rPr>
        <w:t xml:space="preserve"> </w:t>
      </w:r>
      <w:r w:rsidRPr="00A5537A">
        <w:t xml:space="preserve">- European Court of Human Rights </w:t>
      </w:r>
    </w:p>
    <w:p w:rsidR="00284160" w:rsidRPr="00A5537A" w:rsidRDefault="00284160" w:rsidP="00284160">
      <w:pPr>
        <w:autoSpaceDE w:val="0"/>
        <w:spacing w:line="276" w:lineRule="auto"/>
        <w:ind w:left="540"/>
        <w:jc w:val="both"/>
      </w:pPr>
      <w:r w:rsidRPr="00A5537A">
        <w:rPr>
          <w:b/>
        </w:rPr>
        <w:t>EU</w:t>
      </w:r>
      <w:r w:rsidRPr="00A5537A">
        <w:t xml:space="preserve"> - European Union</w:t>
      </w:r>
    </w:p>
    <w:p w:rsidR="00284160" w:rsidRPr="00A5537A" w:rsidRDefault="00284160" w:rsidP="00284160">
      <w:pPr>
        <w:autoSpaceDE w:val="0"/>
        <w:spacing w:line="276" w:lineRule="auto"/>
        <w:ind w:left="540"/>
        <w:jc w:val="both"/>
      </w:pPr>
      <w:r w:rsidRPr="00A5537A">
        <w:rPr>
          <w:b/>
        </w:rPr>
        <w:t>EULEX</w:t>
      </w:r>
      <w:r w:rsidRPr="00A5537A">
        <w:t xml:space="preserve"> - European Union Rule of Law Mission in Kosovo</w:t>
      </w:r>
    </w:p>
    <w:p w:rsidR="00284160" w:rsidRPr="00A5537A" w:rsidRDefault="00284160" w:rsidP="00284160">
      <w:pPr>
        <w:autoSpaceDE w:val="0"/>
        <w:spacing w:line="276" w:lineRule="auto"/>
        <w:ind w:left="540"/>
        <w:jc w:val="both"/>
      </w:pPr>
      <w:r w:rsidRPr="00A5537A">
        <w:rPr>
          <w:b/>
        </w:rPr>
        <w:t xml:space="preserve">FRY </w:t>
      </w:r>
      <w:r w:rsidRPr="00A5537A">
        <w:t xml:space="preserve">- Federal Republic of Yugoslavia </w:t>
      </w:r>
    </w:p>
    <w:p w:rsidR="00C81172" w:rsidRPr="00A5537A" w:rsidRDefault="00C81172" w:rsidP="00284160">
      <w:pPr>
        <w:autoSpaceDE w:val="0"/>
        <w:spacing w:line="276" w:lineRule="auto"/>
        <w:ind w:left="540"/>
        <w:jc w:val="both"/>
        <w:rPr>
          <w:b/>
        </w:rPr>
      </w:pPr>
      <w:r w:rsidRPr="00A5537A">
        <w:rPr>
          <w:rFonts w:cs="CAGLHH+TimesNewRoman"/>
          <w:b/>
          <w:color w:val="000000"/>
          <w:lang w:val="en-GB"/>
        </w:rPr>
        <w:t>GC</w:t>
      </w:r>
      <w:r w:rsidRPr="00A5537A">
        <w:rPr>
          <w:rFonts w:cs="CAGLHH+TimesNewRoman"/>
          <w:color w:val="000000"/>
          <w:lang w:val="en-GB"/>
        </w:rPr>
        <w:t xml:space="preserve"> - Grand Chamber of the European Court</w:t>
      </w:r>
      <w:r w:rsidRPr="00A5537A">
        <w:t xml:space="preserve"> of Human Rights</w:t>
      </w:r>
    </w:p>
    <w:p w:rsidR="00284160" w:rsidRPr="00A5537A" w:rsidRDefault="00284160" w:rsidP="00284160">
      <w:pPr>
        <w:autoSpaceDE w:val="0"/>
        <w:spacing w:line="276" w:lineRule="auto"/>
        <w:ind w:left="540"/>
        <w:jc w:val="both"/>
      </w:pPr>
      <w:r w:rsidRPr="00A5537A">
        <w:rPr>
          <w:b/>
        </w:rPr>
        <w:t xml:space="preserve">HRAP </w:t>
      </w:r>
      <w:r w:rsidRPr="00A5537A">
        <w:t>- Human Rights Advisory Panel</w:t>
      </w:r>
    </w:p>
    <w:p w:rsidR="00284160" w:rsidRPr="00A5537A" w:rsidRDefault="00284160" w:rsidP="00284160">
      <w:pPr>
        <w:autoSpaceDE w:val="0"/>
        <w:spacing w:line="276" w:lineRule="auto"/>
        <w:ind w:left="540"/>
        <w:jc w:val="both"/>
      </w:pPr>
      <w:r w:rsidRPr="00A5537A">
        <w:rPr>
          <w:b/>
        </w:rPr>
        <w:t>HRC</w:t>
      </w:r>
      <w:r w:rsidRPr="00A5537A">
        <w:t xml:space="preserve"> - United Nation</w:t>
      </w:r>
      <w:r w:rsidR="00DB2E6D" w:rsidRPr="00A5537A">
        <w:t>s</w:t>
      </w:r>
      <w:r w:rsidRPr="00A5537A">
        <w:t xml:space="preserve"> Human Rights Committee</w:t>
      </w:r>
    </w:p>
    <w:p w:rsidR="00284160" w:rsidRPr="00A5537A" w:rsidRDefault="00284160" w:rsidP="00284160">
      <w:pPr>
        <w:autoSpaceDE w:val="0"/>
        <w:spacing w:line="276" w:lineRule="auto"/>
        <w:ind w:left="540"/>
        <w:jc w:val="both"/>
      </w:pPr>
      <w:proofErr w:type="spellStart"/>
      <w:r w:rsidRPr="00A5537A">
        <w:rPr>
          <w:b/>
        </w:rPr>
        <w:t>IACtHR</w:t>
      </w:r>
      <w:proofErr w:type="spellEnd"/>
      <w:r w:rsidRPr="00A5537A">
        <w:rPr>
          <w:b/>
        </w:rPr>
        <w:t xml:space="preserve"> </w:t>
      </w:r>
      <w:r w:rsidRPr="00A5537A">
        <w:t>- Inter-American Court of Human Rights</w:t>
      </w:r>
    </w:p>
    <w:p w:rsidR="00284160" w:rsidRPr="00A5537A" w:rsidRDefault="00284160" w:rsidP="00284160">
      <w:pPr>
        <w:autoSpaceDE w:val="0"/>
        <w:spacing w:line="276" w:lineRule="auto"/>
        <w:ind w:left="540"/>
        <w:jc w:val="both"/>
      </w:pPr>
      <w:r w:rsidRPr="00A5537A">
        <w:rPr>
          <w:b/>
        </w:rPr>
        <w:t xml:space="preserve">ICCPR </w:t>
      </w:r>
      <w:r w:rsidRPr="00A5537A">
        <w:t>- International Covenant on Civil and Political Rights</w:t>
      </w:r>
    </w:p>
    <w:p w:rsidR="00284160" w:rsidRPr="00A5537A" w:rsidRDefault="00284160" w:rsidP="00284160">
      <w:pPr>
        <w:autoSpaceDE w:val="0"/>
        <w:spacing w:line="276" w:lineRule="auto"/>
        <w:ind w:left="540"/>
        <w:jc w:val="both"/>
      </w:pPr>
      <w:r w:rsidRPr="00A5537A">
        <w:rPr>
          <w:b/>
        </w:rPr>
        <w:t>ICMP</w:t>
      </w:r>
      <w:r w:rsidRPr="00A5537A">
        <w:t xml:space="preserve"> - International Commission of Missing Persons</w:t>
      </w:r>
    </w:p>
    <w:p w:rsidR="00284160" w:rsidRPr="00A5537A" w:rsidRDefault="00284160" w:rsidP="00284160">
      <w:pPr>
        <w:autoSpaceDE w:val="0"/>
        <w:spacing w:line="276" w:lineRule="auto"/>
        <w:ind w:left="540"/>
        <w:jc w:val="both"/>
      </w:pPr>
      <w:r w:rsidRPr="00A5537A">
        <w:rPr>
          <w:b/>
        </w:rPr>
        <w:t>ICRC</w:t>
      </w:r>
      <w:r w:rsidRPr="00A5537A">
        <w:t xml:space="preserve"> - International Committee of the Red Cross</w:t>
      </w:r>
    </w:p>
    <w:p w:rsidR="00284160" w:rsidRPr="00A5537A" w:rsidRDefault="00284160" w:rsidP="00284160">
      <w:pPr>
        <w:autoSpaceDE w:val="0"/>
        <w:spacing w:line="276" w:lineRule="auto"/>
        <w:ind w:left="540"/>
        <w:jc w:val="both"/>
      </w:pPr>
      <w:r w:rsidRPr="00A5537A">
        <w:rPr>
          <w:b/>
        </w:rPr>
        <w:t xml:space="preserve">ICTY </w:t>
      </w:r>
      <w:r w:rsidRPr="00A5537A">
        <w:t>- International Criminal Tribunal for former Yugoslavia</w:t>
      </w:r>
    </w:p>
    <w:p w:rsidR="00284160" w:rsidRPr="00A5537A" w:rsidRDefault="00284160" w:rsidP="00284160">
      <w:pPr>
        <w:autoSpaceDE w:val="0"/>
        <w:spacing w:line="276" w:lineRule="auto"/>
        <w:ind w:left="540"/>
        <w:jc w:val="both"/>
      </w:pPr>
      <w:r w:rsidRPr="00A5537A">
        <w:rPr>
          <w:b/>
        </w:rPr>
        <w:t>KFOR</w:t>
      </w:r>
      <w:r w:rsidRPr="00A5537A">
        <w:t xml:space="preserve"> - International Security Force (commonly known as Kosovo Force)</w:t>
      </w:r>
    </w:p>
    <w:p w:rsidR="00284160" w:rsidRPr="00A5537A" w:rsidRDefault="00284160" w:rsidP="00284160">
      <w:pPr>
        <w:autoSpaceDE w:val="0"/>
        <w:spacing w:line="276" w:lineRule="auto"/>
        <w:ind w:left="540"/>
        <w:jc w:val="both"/>
      </w:pPr>
      <w:r w:rsidRPr="00A5537A">
        <w:rPr>
          <w:b/>
        </w:rPr>
        <w:t>KLA</w:t>
      </w:r>
      <w:r w:rsidRPr="00A5537A">
        <w:t xml:space="preserve"> - Kosovo Liberation Army</w:t>
      </w:r>
    </w:p>
    <w:p w:rsidR="00284160" w:rsidRPr="00A5537A" w:rsidRDefault="00284160" w:rsidP="00284160">
      <w:pPr>
        <w:autoSpaceDE w:val="0"/>
        <w:spacing w:line="276" w:lineRule="auto"/>
        <w:ind w:left="540"/>
        <w:jc w:val="both"/>
        <w:rPr>
          <w:b/>
        </w:rPr>
      </w:pPr>
      <w:proofErr w:type="spellStart"/>
      <w:r w:rsidRPr="00A5537A">
        <w:rPr>
          <w:b/>
        </w:rPr>
        <w:t>MoU</w:t>
      </w:r>
      <w:proofErr w:type="spellEnd"/>
      <w:r w:rsidRPr="00A5537A">
        <w:rPr>
          <w:b/>
        </w:rPr>
        <w:t xml:space="preserve"> - </w:t>
      </w:r>
      <w:r w:rsidRPr="00A5537A">
        <w:t>Memorandum of Understanding</w:t>
      </w:r>
    </w:p>
    <w:p w:rsidR="00284160" w:rsidRPr="00A5537A" w:rsidRDefault="00284160" w:rsidP="00284160">
      <w:pPr>
        <w:autoSpaceDE w:val="0"/>
        <w:spacing w:line="276" w:lineRule="auto"/>
        <w:ind w:left="540"/>
        <w:jc w:val="both"/>
      </w:pPr>
      <w:r w:rsidRPr="00A5537A">
        <w:rPr>
          <w:b/>
        </w:rPr>
        <w:t xml:space="preserve">MPU </w:t>
      </w:r>
      <w:r w:rsidRPr="00A5537A">
        <w:t>- Missing Persons Unit</w:t>
      </w:r>
    </w:p>
    <w:p w:rsidR="00284160" w:rsidRPr="00A5537A" w:rsidRDefault="00284160" w:rsidP="00284160">
      <w:pPr>
        <w:autoSpaceDE w:val="0"/>
        <w:spacing w:line="276" w:lineRule="auto"/>
        <w:ind w:left="540"/>
        <w:jc w:val="both"/>
      </w:pPr>
      <w:r w:rsidRPr="00A5537A">
        <w:rPr>
          <w:b/>
        </w:rPr>
        <w:t>NATO</w:t>
      </w:r>
      <w:r w:rsidRPr="00A5537A">
        <w:t xml:space="preserve"> - North Atlantic Treaty Organization </w:t>
      </w:r>
    </w:p>
    <w:p w:rsidR="00284160" w:rsidRPr="00A5537A" w:rsidRDefault="00284160" w:rsidP="00284160">
      <w:pPr>
        <w:autoSpaceDE w:val="0"/>
        <w:spacing w:line="276" w:lineRule="auto"/>
        <w:ind w:left="540"/>
        <w:jc w:val="both"/>
      </w:pPr>
      <w:r w:rsidRPr="00A5537A">
        <w:rPr>
          <w:b/>
        </w:rPr>
        <w:t>OMPF</w:t>
      </w:r>
      <w:r w:rsidRPr="00A5537A">
        <w:t xml:space="preserve"> - Office on Missing Persons and Forensics</w:t>
      </w:r>
    </w:p>
    <w:p w:rsidR="00284160" w:rsidRPr="00A5537A" w:rsidRDefault="00284160" w:rsidP="00284160">
      <w:pPr>
        <w:autoSpaceDE w:val="0"/>
        <w:spacing w:line="276" w:lineRule="auto"/>
        <w:ind w:left="540"/>
        <w:jc w:val="both"/>
      </w:pPr>
      <w:r w:rsidRPr="00A5537A">
        <w:rPr>
          <w:b/>
        </w:rPr>
        <w:t>OSCE</w:t>
      </w:r>
      <w:r w:rsidRPr="00A5537A">
        <w:t xml:space="preserve"> - Organization for Security and Cooperation in Europe</w:t>
      </w:r>
    </w:p>
    <w:p w:rsidR="00284160" w:rsidRPr="00A5537A" w:rsidRDefault="00284160" w:rsidP="00284160">
      <w:pPr>
        <w:autoSpaceDE w:val="0"/>
        <w:spacing w:line="276" w:lineRule="auto"/>
        <w:ind w:left="540"/>
        <w:jc w:val="both"/>
      </w:pPr>
      <w:r w:rsidRPr="00A5537A">
        <w:rPr>
          <w:b/>
        </w:rPr>
        <w:t xml:space="preserve">RIU - </w:t>
      </w:r>
      <w:r w:rsidRPr="00A5537A">
        <w:t>Regional Investigation Unit</w:t>
      </w:r>
    </w:p>
    <w:p w:rsidR="00284160" w:rsidRPr="00A5537A" w:rsidRDefault="00284160" w:rsidP="00284160">
      <w:pPr>
        <w:autoSpaceDE w:val="0"/>
        <w:spacing w:line="276" w:lineRule="auto"/>
        <w:ind w:left="540"/>
        <w:jc w:val="both"/>
      </w:pPr>
      <w:r w:rsidRPr="00A5537A">
        <w:rPr>
          <w:b/>
        </w:rPr>
        <w:t>SRSG</w:t>
      </w:r>
      <w:r w:rsidRPr="00A5537A">
        <w:t xml:space="preserve"> - Special Representative of the Secretary-General </w:t>
      </w:r>
    </w:p>
    <w:p w:rsidR="00284160" w:rsidRPr="00A5537A" w:rsidRDefault="00284160" w:rsidP="00284160">
      <w:pPr>
        <w:autoSpaceDE w:val="0"/>
        <w:spacing w:line="276" w:lineRule="auto"/>
        <w:ind w:left="540"/>
        <w:jc w:val="both"/>
      </w:pPr>
      <w:r w:rsidRPr="00A5537A">
        <w:rPr>
          <w:b/>
        </w:rPr>
        <w:t>UN</w:t>
      </w:r>
      <w:r w:rsidRPr="00A5537A">
        <w:t xml:space="preserve"> - United Nations</w:t>
      </w:r>
    </w:p>
    <w:p w:rsidR="00284160" w:rsidRPr="00A5537A" w:rsidRDefault="00284160" w:rsidP="00284160">
      <w:pPr>
        <w:autoSpaceDE w:val="0"/>
        <w:spacing w:line="276" w:lineRule="auto"/>
        <w:ind w:left="540"/>
        <w:jc w:val="both"/>
      </w:pPr>
      <w:r w:rsidRPr="00A5537A">
        <w:rPr>
          <w:b/>
        </w:rPr>
        <w:t xml:space="preserve">UNHCR </w:t>
      </w:r>
      <w:r w:rsidRPr="00A5537A">
        <w:t>- United Nations High Commissioner for Refugees</w:t>
      </w:r>
    </w:p>
    <w:p w:rsidR="00284160" w:rsidRPr="00A5537A" w:rsidRDefault="00284160" w:rsidP="00284160">
      <w:pPr>
        <w:autoSpaceDE w:val="0"/>
        <w:spacing w:line="276" w:lineRule="auto"/>
        <w:ind w:left="540"/>
        <w:jc w:val="both"/>
      </w:pPr>
      <w:r w:rsidRPr="00A5537A">
        <w:rPr>
          <w:b/>
        </w:rPr>
        <w:t>UNMIK</w:t>
      </w:r>
      <w:r w:rsidRPr="00A5537A">
        <w:t xml:space="preserve"> - United Nations Interim Administration Mission in Kosovo </w:t>
      </w:r>
    </w:p>
    <w:p w:rsidR="00284160" w:rsidRPr="00A5537A" w:rsidRDefault="00284160" w:rsidP="00284160">
      <w:pPr>
        <w:autoSpaceDE w:val="0"/>
        <w:spacing w:line="276" w:lineRule="auto"/>
        <w:ind w:left="540"/>
        <w:jc w:val="both"/>
      </w:pPr>
      <w:r w:rsidRPr="00A5537A">
        <w:rPr>
          <w:b/>
        </w:rPr>
        <w:t>VRIC</w:t>
      </w:r>
      <w:r w:rsidRPr="00A5537A">
        <w:t xml:space="preserve"> - Victim Recovery and Identification Commission</w:t>
      </w:r>
    </w:p>
    <w:p w:rsidR="00284160" w:rsidRDefault="00284160" w:rsidP="00284160">
      <w:pPr>
        <w:autoSpaceDE w:val="0"/>
        <w:spacing w:line="276" w:lineRule="auto"/>
        <w:ind w:left="540"/>
        <w:jc w:val="both"/>
      </w:pPr>
      <w:r w:rsidRPr="00A5537A">
        <w:rPr>
          <w:b/>
        </w:rPr>
        <w:t xml:space="preserve">WCIU </w:t>
      </w:r>
      <w:r w:rsidRPr="00A5537A">
        <w:t>- War Crimes Investigation Unit</w:t>
      </w:r>
    </w:p>
    <w:sectPr w:rsidR="00284160" w:rsidSect="00C8354E">
      <w:headerReference w:type="default" r:id="rId11"/>
      <w:pgSz w:w="12240" w:h="15840"/>
      <w:pgMar w:top="810" w:right="1800" w:bottom="1260" w:left="180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 w:author="law" w:date="2013-04-25T16:49:00Z" w:initials="l">
    <w:p w:rsidR="00A904C0" w:rsidRDefault="00A904C0" w:rsidP="00BA25EA">
      <w:pPr>
        <w:pStyle w:val="CommentText"/>
      </w:pPr>
      <w:r>
        <w:rPr>
          <w:rStyle w:val="CommentReference"/>
        </w:rPr>
        <w:annotationRef/>
      </w:r>
      <w:r>
        <w:t xml:space="preserve">I think we should reverse </w:t>
      </w:r>
      <w:proofErr w:type="spellStart"/>
      <w:r>
        <w:t>paras</w:t>
      </w:r>
      <w:proofErr w:type="spellEnd"/>
      <w:r>
        <w:t xml:space="preserve"> 24 and 25 because of the time line.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5A8" w:rsidRDefault="002355A8">
      <w:r>
        <w:separator/>
      </w:r>
    </w:p>
  </w:endnote>
  <w:endnote w:type="continuationSeparator" w:id="0">
    <w:p w:rsidR="002355A8" w:rsidRDefault="00235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5A8" w:rsidRDefault="002355A8">
      <w:r>
        <w:separator/>
      </w:r>
    </w:p>
  </w:footnote>
  <w:footnote w:type="continuationSeparator" w:id="0">
    <w:p w:rsidR="002355A8" w:rsidRDefault="002355A8">
      <w:r>
        <w:continuationSeparator/>
      </w:r>
    </w:p>
  </w:footnote>
  <w:footnote w:id="1">
    <w:p w:rsidR="00A904C0" w:rsidRPr="00DD3E1C" w:rsidRDefault="00A904C0" w:rsidP="00FE2021">
      <w:pPr>
        <w:pStyle w:val="FootnoteText"/>
        <w:spacing w:after="120"/>
        <w:rPr>
          <w:rFonts w:ascii="Times New Roman" w:hAnsi="Times New Roman"/>
          <w:sz w:val="20"/>
        </w:rPr>
      </w:pPr>
      <w:r w:rsidRPr="00DD3E1C">
        <w:rPr>
          <w:rStyle w:val="FootnoteReference"/>
          <w:rFonts w:ascii="Times New Roman" w:hAnsi="Times New Roman"/>
          <w:sz w:val="20"/>
        </w:rPr>
        <w:footnoteRef/>
      </w:r>
      <w:r w:rsidRPr="00DD3E1C">
        <w:rPr>
          <w:rFonts w:ascii="Times New Roman" w:hAnsi="Times New Roman"/>
          <w:sz w:val="20"/>
        </w:rPr>
        <w:t xml:space="preserve"> A list of abbreviations and acronyms contained in the text can be found in the attached Annex.</w:t>
      </w:r>
    </w:p>
  </w:footnote>
  <w:footnote w:id="2">
    <w:p w:rsidR="00A904C0" w:rsidRPr="00680EF0" w:rsidRDefault="00A904C0" w:rsidP="005B71F4">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80EF0">
        <w:rPr>
          <w:rFonts w:ascii="Times New Roman" w:hAnsi="Times New Roman"/>
          <w:i/>
          <w:sz w:val="20"/>
        </w:rPr>
        <w:t xml:space="preserve">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and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v. France</w:t>
      </w:r>
      <w:r w:rsidRPr="00680EF0">
        <w:rPr>
          <w:rFonts w:ascii="Times New Roman" w:hAnsi="Times New Roman"/>
          <w:sz w:val="20"/>
        </w:rPr>
        <w:t xml:space="preserve"> and </w:t>
      </w:r>
      <w:proofErr w:type="spellStart"/>
      <w:r w:rsidRPr="00680EF0">
        <w:rPr>
          <w:rFonts w:ascii="Times New Roman" w:hAnsi="Times New Roman"/>
          <w:i/>
          <w:sz w:val="20"/>
        </w:rPr>
        <w:t>Saramati</w:t>
      </w:r>
      <w:proofErr w:type="spellEnd"/>
      <w:r w:rsidRPr="00680EF0">
        <w:rPr>
          <w:rFonts w:ascii="Times New Roman" w:hAnsi="Times New Roman"/>
          <w:i/>
          <w:sz w:val="20"/>
        </w:rPr>
        <w:t xml:space="preserve"> v. France, Germany and Norway</w:t>
      </w:r>
      <w:r w:rsidRPr="00680EF0">
        <w:rPr>
          <w:rFonts w:ascii="Times New Roman" w:hAnsi="Times New Roman"/>
          <w:sz w:val="20"/>
        </w:rPr>
        <w:t xml:space="preserve">, nos. </w:t>
      </w:r>
      <w:r w:rsidRPr="00680EF0">
        <w:rPr>
          <w:rStyle w:val="sb8d990e2"/>
          <w:rFonts w:ascii="Times New Roman" w:hAnsi="Times New Roman"/>
          <w:sz w:val="20"/>
        </w:rPr>
        <w:t>71412/01 and</w:t>
      </w:r>
      <w:r w:rsidRPr="00680EF0">
        <w:rPr>
          <w:rFonts w:ascii="Times New Roman" w:hAnsi="Times New Roman"/>
          <w:sz w:val="20"/>
        </w:rPr>
        <w:t xml:space="preserve"> </w:t>
      </w:r>
      <w:r w:rsidRPr="00680EF0">
        <w:rPr>
          <w:rStyle w:val="sb8d990e2"/>
          <w:rFonts w:ascii="Times New Roman" w:hAnsi="Times New Roman"/>
          <w:sz w:val="20"/>
        </w:rPr>
        <w:t xml:space="preserve">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A904C0" w:rsidRPr="00DD3E1C" w:rsidRDefault="00A904C0" w:rsidP="009D6992">
      <w:pPr>
        <w:pStyle w:val="FootnoteText"/>
        <w:jc w:val="both"/>
        <w:rPr>
          <w:rFonts w:ascii="Times New Roman" w:hAnsi="Times New Roman"/>
          <w:sz w:val="20"/>
        </w:rPr>
      </w:pPr>
      <w:r w:rsidRPr="00DD3E1C">
        <w:rPr>
          <w:rStyle w:val="FootnoteReference"/>
          <w:rFonts w:ascii="Times New Roman" w:hAnsi="Times New Roman"/>
          <w:sz w:val="20"/>
        </w:rPr>
        <w:footnoteRef/>
      </w:r>
      <w:r w:rsidRPr="00DD3E1C">
        <w:rPr>
          <w:rFonts w:ascii="Times New Roman" w:hAnsi="Times New Roman"/>
          <w:sz w:val="20"/>
        </w:rPr>
        <w:t xml:space="preserve"> The database is available at: </w:t>
      </w:r>
      <w:hyperlink r:id="rId3" w:history="1">
        <w:r w:rsidRPr="00DD3E1C">
          <w:rPr>
            <w:rStyle w:val="Hyperlink"/>
            <w:rFonts w:ascii="Times New Roman" w:hAnsi="Times New Roman"/>
            <w:color w:val="auto"/>
            <w:sz w:val="20"/>
            <w:u w:val="none"/>
          </w:rPr>
          <w:t>http://www.ic-mp.org/fdmsweb/index.php?w=mp_details_popup&amp;l=en</w:t>
        </w:r>
      </w:hyperlink>
      <w:r w:rsidRPr="00DD3E1C">
        <w:rPr>
          <w:rFonts w:ascii="Times New Roman" w:hAnsi="Times New Roman"/>
          <w:sz w:val="20"/>
        </w:rPr>
        <w:t xml:space="preserve"> (</w:t>
      </w:r>
      <w:r>
        <w:rPr>
          <w:rFonts w:ascii="Times New Roman" w:hAnsi="Times New Roman"/>
          <w:sz w:val="20"/>
        </w:rPr>
        <w:t>accessed on 6</w:t>
      </w:r>
      <w:r w:rsidRPr="00414797">
        <w:rPr>
          <w:rFonts w:ascii="Times New Roman" w:hAnsi="Times New Roman"/>
          <w:sz w:val="20"/>
        </w:rPr>
        <w:t xml:space="preserve"> </w:t>
      </w:r>
      <w:r>
        <w:rPr>
          <w:rFonts w:ascii="Times New Roman" w:hAnsi="Times New Roman"/>
          <w:sz w:val="20"/>
        </w:rPr>
        <w:t>March</w:t>
      </w:r>
      <w:r w:rsidRPr="00414797">
        <w:rPr>
          <w:rFonts w:ascii="Times New Roman" w:hAnsi="Times New Roman"/>
          <w:sz w:val="20"/>
        </w:rPr>
        <w:t xml:space="preserve"> 2013).</w:t>
      </w:r>
      <w:r>
        <w:rPr>
          <w:rFonts w:ascii="Times New Roman" w:hAnsi="Times New Roman"/>
          <w:sz w:val="20"/>
        </w:rPr>
        <w:t xml:space="preserve"> (check)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C0" w:rsidRPr="001A67D1" w:rsidRDefault="00A904C0">
    <w:pPr>
      <w:pStyle w:val="Header"/>
      <w:jc w:val="right"/>
    </w:pPr>
    <w:r w:rsidRPr="00284160">
      <w:rPr>
        <w:sz w:val="22"/>
        <w:szCs w:val="22"/>
      </w:rPr>
      <w:fldChar w:fldCharType="begin"/>
    </w:r>
    <w:r w:rsidRPr="00284160">
      <w:rPr>
        <w:sz w:val="22"/>
        <w:szCs w:val="22"/>
      </w:rPr>
      <w:instrText xml:space="preserve"> PAGE   \* MERGEFORMAT </w:instrText>
    </w:r>
    <w:r w:rsidRPr="00284160">
      <w:rPr>
        <w:sz w:val="22"/>
        <w:szCs w:val="22"/>
      </w:rPr>
      <w:fldChar w:fldCharType="separate"/>
    </w:r>
    <w:r w:rsidR="002A6282">
      <w:rPr>
        <w:noProof/>
        <w:sz w:val="22"/>
        <w:szCs w:val="22"/>
      </w:rPr>
      <w:t>11</w:t>
    </w:r>
    <w:r w:rsidRPr="00284160">
      <w:rPr>
        <w:sz w:val="22"/>
        <w:szCs w:val="22"/>
      </w:rPr>
      <w:fldChar w:fldCharType="end"/>
    </w:r>
  </w:p>
  <w:p w:rsidR="00A904C0" w:rsidRDefault="00A904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640ED"/>
    <w:multiLevelType w:val="hybridMultilevel"/>
    <w:tmpl w:val="303854BA"/>
    <w:lvl w:ilvl="0" w:tplc="11F2BDEC">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11F2BDEC">
      <w:start w:val="31"/>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46383"/>
    <w:multiLevelType w:val="hybridMultilevel"/>
    <w:tmpl w:val="CDCC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5456BA"/>
    <w:multiLevelType w:val="hybridMultilevel"/>
    <w:tmpl w:val="5F6C1FB8"/>
    <w:lvl w:ilvl="0" w:tplc="FED4B7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4594A"/>
    <w:multiLevelType w:val="hybridMultilevel"/>
    <w:tmpl w:val="FBF9AB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355EB3"/>
    <w:multiLevelType w:val="hybridMultilevel"/>
    <w:tmpl w:val="69EAC078"/>
    <w:lvl w:ilvl="0" w:tplc="034E1250">
      <w:start w:val="1"/>
      <w:numFmt w:val="decimal"/>
      <w:lvlText w:val="%1."/>
      <w:lvlJc w:val="left"/>
      <w:pPr>
        <w:ind w:left="45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961AC1"/>
    <w:multiLevelType w:val="hybridMultilevel"/>
    <w:tmpl w:val="7B08629C"/>
    <w:lvl w:ilvl="0" w:tplc="83FCFC5E">
      <w:start w:val="1"/>
      <w:numFmt w:val="decimal"/>
      <w:lvlText w:val="%1."/>
      <w:lvlJc w:val="left"/>
      <w:pPr>
        <w:tabs>
          <w:tab w:val="num" w:pos="540"/>
        </w:tabs>
        <w:ind w:left="540" w:hanging="360"/>
      </w:pPr>
      <w:rPr>
        <w:rFonts w:hint="default"/>
        <w:b w:val="0"/>
        <w:i w:val="0"/>
        <w:color w:val="auto"/>
      </w:r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976661"/>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E30AA1"/>
    <w:multiLevelType w:val="hybridMultilevel"/>
    <w:tmpl w:val="B2B8E284"/>
    <w:lvl w:ilvl="0" w:tplc="FED4B7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FED4B788">
      <w:numFmt w:val="bullet"/>
      <w:lvlText w:val="-"/>
      <w:lvlJc w:val="left"/>
      <w:pPr>
        <w:ind w:left="5400" w:hanging="360"/>
      </w:pPr>
      <w:rPr>
        <w:rFonts w:ascii="Times New Roman" w:eastAsia="Times New Roman" w:hAnsi="Times New Roman" w:cs="Times New Roman"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666FC2"/>
    <w:multiLevelType w:val="hybridMultilevel"/>
    <w:tmpl w:val="57A26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41526C"/>
    <w:multiLevelType w:val="hybridMultilevel"/>
    <w:tmpl w:val="B236346C"/>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nsid w:val="486A4682"/>
    <w:multiLevelType w:val="hybridMultilevel"/>
    <w:tmpl w:val="78C8EF82"/>
    <w:lvl w:ilvl="0" w:tplc="D31A2F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3760E8"/>
    <w:multiLevelType w:val="hybridMultilevel"/>
    <w:tmpl w:val="E3CA6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B73578"/>
    <w:multiLevelType w:val="hybridMultilevel"/>
    <w:tmpl w:val="0A7ED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E52001"/>
    <w:multiLevelType w:val="hybridMultilevel"/>
    <w:tmpl w:val="4DA05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E761DA"/>
    <w:multiLevelType w:val="hybridMultilevel"/>
    <w:tmpl w:val="49F49E22"/>
    <w:lvl w:ilvl="0" w:tplc="D79053E8">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9">
    <w:nsid w:val="56333BAB"/>
    <w:multiLevelType w:val="hybridMultilevel"/>
    <w:tmpl w:val="E5F20360"/>
    <w:lvl w:ilvl="0" w:tplc="E1421CC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590FD1"/>
    <w:multiLevelType w:val="hybridMultilevel"/>
    <w:tmpl w:val="C5DAFA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413F09"/>
    <w:multiLevelType w:val="hybridMultilevel"/>
    <w:tmpl w:val="F80EE3AC"/>
    <w:lvl w:ilvl="0" w:tplc="CC626900">
      <w:start w:val="1"/>
      <w:numFmt w:val="decimal"/>
      <w:lvlText w:val="%1."/>
      <w:lvlJc w:val="left"/>
      <w:pPr>
        <w:tabs>
          <w:tab w:val="num" w:pos="360"/>
        </w:tabs>
        <w:ind w:left="360" w:hanging="360"/>
      </w:pPr>
      <w:rPr>
        <w:rFonts w:hint="default"/>
        <w:b w:val="0"/>
        <w:i w:val="0"/>
        <w:color w:val="00000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4">
    <w:nsid w:val="63073F51"/>
    <w:multiLevelType w:val="hybridMultilevel"/>
    <w:tmpl w:val="76AAC4F2"/>
    <w:lvl w:ilvl="0" w:tplc="8A08B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A27E66"/>
    <w:multiLevelType w:val="hybridMultilevel"/>
    <w:tmpl w:val="449C6054"/>
    <w:lvl w:ilvl="0" w:tplc="45BCA81A">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45BCA81A">
      <w:start w:val="2"/>
      <w:numFmt w:val="bullet"/>
      <w:lvlText w:val="-"/>
      <w:lvlJc w:val="left"/>
      <w:pPr>
        <w:ind w:left="4680" w:hanging="360"/>
      </w:pPr>
      <w:rPr>
        <w:rFonts w:ascii="Times New Roman" w:eastAsia="Times New Roman" w:hAnsi="Times New Roman"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BB057F"/>
    <w:multiLevelType w:val="hybridMultilevel"/>
    <w:tmpl w:val="200E11A6"/>
    <w:lvl w:ilvl="0" w:tplc="68BEA04E">
      <w:start w:val="1"/>
      <w:numFmt w:val="decimal"/>
      <w:lvlText w:val="%1."/>
      <w:lvlJc w:val="left"/>
      <w:pPr>
        <w:tabs>
          <w:tab w:val="num" w:pos="630"/>
        </w:tabs>
        <w:ind w:left="630" w:hanging="360"/>
      </w:pPr>
      <w:rPr>
        <w:rFonts w:hint="default"/>
        <w:b w:val="0"/>
        <w:i w:val="0"/>
        <w:color w:val="000000"/>
        <w:sz w:val="24"/>
        <w:szCs w:val="24"/>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9">
    <w:nsid w:val="7E9039FF"/>
    <w:multiLevelType w:val="hybridMultilevel"/>
    <w:tmpl w:val="6BE000B4"/>
    <w:lvl w:ilvl="0" w:tplc="BDE233CA">
      <w:start w:val="1"/>
      <w:numFmt w:val="upperRoman"/>
      <w:lvlText w:val="%1."/>
      <w:lvlJc w:val="left"/>
      <w:pPr>
        <w:ind w:left="1080" w:hanging="720"/>
      </w:pPr>
      <w:rPr>
        <w:rFonts w:hint="default"/>
      </w:rPr>
    </w:lvl>
    <w:lvl w:ilvl="1" w:tplc="97F6429A">
      <w:start w:val="1"/>
      <w:numFmt w:val="decimal"/>
      <w:lvlText w:val="%2."/>
      <w:lvlJc w:val="left"/>
      <w:pPr>
        <w:tabs>
          <w:tab w:val="num" w:pos="1440"/>
        </w:tabs>
        <w:ind w:left="144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9"/>
  </w:num>
  <w:num w:numId="4">
    <w:abstractNumId w:val="13"/>
  </w:num>
  <w:num w:numId="5">
    <w:abstractNumId w:val="38"/>
  </w:num>
  <w:num w:numId="6">
    <w:abstractNumId w:val="22"/>
  </w:num>
  <w:num w:numId="7">
    <w:abstractNumId w:val="18"/>
  </w:num>
  <w:num w:numId="8">
    <w:abstractNumId w:val="36"/>
  </w:num>
  <w:num w:numId="9">
    <w:abstractNumId w:val="3"/>
  </w:num>
  <w:num w:numId="10">
    <w:abstractNumId w:val="30"/>
  </w:num>
  <w:num w:numId="11">
    <w:abstractNumId w:val="23"/>
  </w:num>
  <w:num w:numId="12">
    <w:abstractNumId w:val="6"/>
  </w:num>
  <w:num w:numId="13">
    <w:abstractNumId w:val="14"/>
  </w:num>
  <w:num w:numId="14">
    <w:abstractNumId w:val="24"/>
  </w:num>
  <w:num w:numId="15">
    <w:abstractNumId w:val="31"/>
  </w:num>
  <w:num w:numId="16">
    <w:abstractNumId w:val="26"/>
  </w:num>
  <w:num w:numId="17">
    <w:abstractNumId w:val="0"/>
  </w:num>
  <w:num w:numId="18">
    <w:abstractNumId w:val="11"/>
  </w:num>
  <w:num w:numId="19">
    <w:abstractNumId w:val="35"/>
  </w:num>
  <w:num w:numId="20">
    <w:abstractNumId w:val="20"/>
  </w:num>
  <w:num w:numId="21">
    <w:abstractNumId w:val="4"/>
  </w:num>
  <w:num w:numId="22">
    <w:abstractNumId w:val="8"/>
  </w:num>
  <w:num w:numId="23">
    <w:abstractNumId w:val="34"/>
  </w:num>
  <w:num w:numId="24">
    <w:abstractNumId w:val="7"/>
  </w:num>
  <w:num w:numId="25">
    <w:abstractNumId w:val="16"/>
  </w:num>
  <w:num w:numId="26">
    <w:abstractNumId w:val="25"/>
  </w:num>
  <w:num w:numId="27">
    <w:abstractNumId w:val="37"/>
  </w:num>
  <w:num w:numId="28">
    <w:abstractNumId w:val="27"/>
  </w:num>
  <w:num w:numId="29">
    <w:abstractNumId w:val="29"/>
  </w:num>
  <w:num w:numId="30">
    <w:abstractNumId w:val="19"/>
  </w:num>
  <w:num w:numId="31">
    <w:abstractNumId w:val="28"/>
  </w:num>
  <w:num w:numId="32">
    <w:abstractNumId w:val="33"/>
  </w:num>
  <w:num w:numId="33">
    <w:abstractNumId w:val="5"/>
  </w:num>
  <w:num w:numId="34">
    <w:abstractNumId w:val="21"/>
  </w:num>
  <w:num w:numId="35">
    <w:abstractNumId w:val="17"/>
  </w:num>
  <w:num w:numId="36">
    <w:abstractNumId w:val="32"/>
  </w:num>
  <w:num w:numId="37">
    <w:abstractNumId w:val="2"/>
  </w:num>
  <w:num w:numId="38">
    <w:abstractNumId w:val="1"/>
  </w:num>
  <w:num w:numId="39">
    <w:abstractNumId w:val="10"/>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comments="0" w:insDel="0" w:formatting="0" w:inkAnnotations="0"/>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262B44"/>
    <w:rsid w:val="00003EE4"/>
    <w:rsid w:val="0000536C"/>
    <w:rsid w:val="00005EDC"/>
    <w:rsid w:val="0000633A"/>
    <w:rsid w:val="00012218"/>
    <w:rsid w:val="000204B4"/>
    <w:rsid w:val="00025BD8"/>
    <w:rsid w:val="00025D67"/>
    <w:rsid w:val="00033882"/>
    <w:rsid w:val="00035334"/>
    <w:rsid w:val="00041AD7"/>
    <w:rsid w:val="00050EEA"/>
    <w:rsid w:val="00056A99"/>
    <w:rsid w:val="00057B23"/>
    <w:rsid w:val="00057D32"/>
    <w:rsid w:val="00064E34"/>
    <w:rsid w:val="000709F0"/>
    <w:rsid w:val="000715CC"/>
    <w:rsid w:val="00074F08"/>
    <w:rsid w:val="00076936"/>
    <w:rsid w:val="00077DE9"/>
    <w:rsid w:val="00084978"/>
    <w:rsid w:val="000852EC"/>
    <w:rsid w:val="00092686"/>
    <w:rsid w:val="00092903"/>
    <w:rsid w:val="00094FA3"/>
    <w:rsid w:val="00095637"/>
    <w:rsid w:val="000A1BE7"/>
    <w:rsid w:val="000A4C40"/>
    <w:rsid w:val="000A6899"/>
    <w:rsid w:val="000A7439"/>
    <w:rsid w:val="000B036D"/>
    <w:rsid w:val="000B46F6"/>
    <w:rsid w:val="000B5C31"/>
    <w:rsid w:val="000B7F73"/>
    <w:rsid w:val="000D0543"/>
    <w:rsid w:val="000D08E1"/>
    <w:rsid w:val="000D0C46"/>
    <w:rsid w:val="000D21A8"/>
    <w:rsid w:val="000D3344"/>
    <w:rsid w:val="000D5BCF"/>
    <w:rsid w:val="000E23B6"/>
    <w:rsid w:val="000E761D"/>
    <w:rsid w:val="000F013A"/>
    <w:rsid w:val="000F336F"/>
    <w:rsid w:val="000F5132"/>
    <w:rsid w:val="000F595E"/>
    <w:rsid w:val="000F69A4"/>
    <w:rsid w:val="000F7E70"/>
    <w:rsid w:val="001003BC"/>
    <w:rsid w:val="001018B0"/>
    <w:rsid w:val="0010688C"/>
    <w:rsid w:val="0011387B"/>
    <w:rsid w:val="00113F3F"/>
    <w:rsid w:val="001162A3"/>
    <w:rsid w:val="0012508E"/>
    <w:rsid w:val="00132831"/>
    <w:rsid w:val="00133F08"/>
    <w:rsid w:val="00134576"/>
    <w:rsid w:val="001350FB"/>
    <w:rsid w:val="001403C2"/>
    <w:rsid w:val="001449C9"/>
    <w:rsid w:val="001460E1"/>
    <w:rsid w:val="0014767A"/>
    <w:rsid w:val="00150876"/>
    <w:rsid w:val="001512A5"/>
    <w:rsid w:val="0016154E"/>
    <w:rsid w:val="00164407"/>
    <w:rsid w:val="00164F47"/>
    <w:rsid w:val="001711F6"/>
    <w:rsid w:val="001727C1"/>
    <w:rsid w:val="00173F75"/>
    <w:rsid w:val="0017646A"/>
    <w:rsid w:val="001852D9"/>
    <w:rsid w:val="00187A9C"/>
    <w:rsid w:val="00192AA7"/>
    <w:rsid w:val="00194191"/>
    <w:rsid w:val="0019447A"/>
    <w:rsid w:val="00194800"/>
    <w:rsid w:val="00195649"/>
    <w:rsid w:val="001A08B0"/>
    <w:rsid w:val="001A1815"/>
    <w:rsid w:val="001A67D1"/>
    <w:rsid w:val="001B187A"/>
    <w:rsid w:val="001B4BF5"/>
    <w:rsid w:val="001B4F35"/>
    <w:rsid w:val="001B7E46"/>
    <w:rsid w:val="001C0F0F"/>
    <w:rsid w:val="001C2229"/>
    <w:rsid w:val="001D143B"/>
    <w:rsid w:val="001D3666"/>
    <w:rsid w:val="001D45F5"/>
    <w:rsid w:val="001D6453"/>
    <w:rsid w:val="001D7C7D"/>
    <w:rsid w:val="001E09E7"/>
    <w:rsid w:val="001E2A7D"/>
    <w:rsid w:val="001E4540"/>
    <w:rsid w:val="001E6336"/>
    <w:rsid w:val="001F0CBF"/>
    <w:rsid w:val="00207EF6"/>
    <w:rsid w:val="00211398"/>
    <w:rsid w:val="002119C2"/>
    <w:rsid w:val="00213E49"/>
    <w:rsid w:val="002152A2"/>
    <w:rsid w:val="002201E7"/>
    <w:rsid w:val="00222D2F"/>
    <w:rsid w:val="0022343B"/>
    <w:rsid w:val="0022364D"/>
    <w:rsid w:val="002264BF"/>
    <w:rsid w:val="00227FA6"/>
    <w:rsid w:val="00230744"/>
    <w:rsid w:val="00230DC1"/>
    <w:rsid w:val="0023308F"/>
    <w:rsid w:val="00233A88"/>
    <w:rsid w:val="002355A8"/>
    <w:rsid w:val="00237381"/>
    <w:rsid w:val="0024300A"/>
    <w:rsid w:val="00253246"/>
    <w:rsid w:val="0025400A"/>
    <w:rsid w:val="002579EE"/>
    <w:rsid w:val="002609E5"/>
    <w:rsid w:val="00262B44"/>
    <w:rsid w:val="00263801"/>
    <w:rsid w:val="00266205"/>
    <w:rsid w:val="002767A4"/>
    <w:rsid w:val="002817D5"/>
    <w:rsid w:val="00281FB3"/>
    <w:rsid w:val="00284160"/>
    <w:rsid w:val="002856A0"/>
    <w:rsid w:val="002862F4"/>
    <w:rsid w:val="0028681E"/>
    <w:rsid w:val="00292038"/>
    <w:rsid w:val="00294BF4"/>
    <w:rsid w:val="00294F1B"/>
    <w:rsid w:val="002A02E5"/>
    <w:rsid w:val="002A2F09"/>
    <w:rsid w:val="002A59F7"/>
    <w:rsid w:val="002A6282"/>
    <w:rsid w:val="002B3D61"/>
    <w:rsid w:val="002C4A3F"/>
    <w:rsid w:val="002C6F68"/>
    <w:rsid w:val="002D2884"/>
    <w:rsid w:val="002D4F8F"/>
    <w:rsid w:val="002E28B8"/>
    <w:rsid w:val="002E3BC3"/>
    <w:rsid w:val="002E5F91"/>
    <w:rsid w:val="002F65A0"/>
    <w:rsid w:val="003006B3"/>
    <w:rsid w:val="00310F91"/>
    <w:rsid w:val="003261AD"/>
    <w:rsid w:val="00327C8D"/>
    <w:rsid w:val="00333CD6"/>
    <w:rsid w:val="00335D64"/>
    <w:rsid w:val="0034364D"/>
    <w:rsid w:val="003472C6"/>
    <w:rsid w:val="00350C81"/>
    <w:rsid w:val="00351324"/>
    <w:rsid w:val="00354676"/>
    <w:rsid w:val="00354AEF"/>
    <w:rsid w:val="00355DCC"/>
    <w:rsid w:val="00361768"/>
    <w:rsid w:val="0036768F"/>
    <w:rsid w:val="00367EF9"/>
    <w:rsid w:val="00370EF9"/>
    <w:rsid w:val="00372A92"/>
    <w:rsid w:val="0037385F"/>
    <w:rsid w:val="00376C08"/>
    <w:rsid w:val="003805C9"/>
    <w:rsid w:val="00390653"/>
    <w:rsid w:val="003936AC"/>
    <w:rsid w:val="00393E8D"/>
    <w:rsid w:val="003A44A0"/>
    <w:rsid w:val="003A5E2D"/>
    <w:rsid w:val="003B1C80"/>
    <w:rsid w:val="003B7803"/>
    <w:rsid w:val="003C1B87"/>
    <w:rsid w:val="003C341F"/>
    <w:rsid w:val="003C39D4"/>
    <w:rsid w:val="003C6352"/>
    <w:rsid w:val="003C6DFA"/>
    <w:rsid w:val="003E0555"/>
    <w:rsid w:val="003E2A7A"/>
    <w:rsid w:val="003E74BC"/>
    <w:rsid w:val="003F4ACC"/>
    <w:rsid w:val="00405647"/>
    <w:rsid w:val="004073C4"/>
    <w:rsid w:val="00414797"/>
    <w:rsid w:val="004223D7"/>
    <w:rsid w:val="004234FA"/>
    <w:rsid w:val="00431BB6"/>
    <w:rsid w:val="004326F7"/>
    <w:rsid w:val="00434BB6"/>
    <w:rsid w:val="00437834"/>
    <w:rsid w:val="00440E88"/>
    <w:rsid w:val="00443387"/>
    <w:rsid w:val="00444C32"/>
    <w:rsid w:val="00451A85"/>
    <w:rsid w:val="00454AA4"/>
    <w:rsid w:val="00465885"/>
    <w:rsid w:val="00466E32"/>
    <w:rsid w:val="00467A47"/>
    <w:rsid w:val="00470CE7"/>
    <w:rsid w:val="00473F9B"/>
    <w:rsid w:val="00477DB5"/>
    <w:rsid w:val="00485A29"/>
    <w:rsid w:val="0048726D"/>
    <w:rsid w:val="00491629"/>
    <w:rsid w:val="00491B79"/>
    <w:rsid w:val="004938F7"/>
    <w:rsid w:val="00495CD7"/>
    <w:rsid w:val="004961CD"/>
    <w:rsid w:val="004A14BD"/>
    <w:rsid w:val="004A2672"/>
    <w:rsid w:val="004A3362"/>
    <w:rsid w:val="004A4D91"/>
    <w:rsid w:val="004A5029"/>
    <w:rsid w:val="004A76CF"/>
    <w:rsid w:val="004B195D"/>
    <w:rsid w:val="004B31C0"/>
    <w:rsid w:val="004B3BEC"/>
    <w:rsid w:val="004B5DE2"/>
    <w:rsid w:val="004C0553"/>
    <w:rsid w:val="004C3ABE"/>
    <w:rsid w:val="004D28CE"/>
    <w:rsid w:val="004D3650"/>
    <w:rsid w:val="004D4694"/>
    <w:rsid w:val="004D4DDE"/>
    <w:rsid w:val="004D6B24"/>
    <w:rsid w:val="004E218D"/>
    <w:rsid w:val="004E3548"/>
    <w:rsid w:val="004E489C"/>
    <w:rsid w:val="004E48CA"/>
    <w:rsid w:val="004F19FC"/>
    <w:rsid w:val="004F231E"/>
    <w:rsid w:val="004F6630"/>
    <w:rsid w:val="005012C2"/>
    <w:rsid w:val="005041B4"/>
    <w:rsid w:val="00505C47"/>
    <w:rsid w:val="00505ECC"/>
    <w:rsid w:val="00512BF7"/>
    <w:rsid w:val="00514229"/>
    <w:rsid w:val="005142CD"/>
    <w:rsid w:val="00514A7A"/>
    <w:rsid w:val="00514B07"/>
    <w:rsid w:val="005200EF"/>
    <w:rsid w:val="00523386"/>
    <w:rsid w:val="005257F4"/>
    <w:rsid w:val="0052586F"/>
    <w:rsid w:val="00526682"/>
    <w:rsid w:val="005308AC"/>
    <w:rsid w:val="00531C92"/>
    <w:rsid w:val="00532B49"/>
    <w:rsid w:val="00535FD4"/>
    <w:rsid w:val="00536252"/>
    <w:rsid w:val="0054280D"/>
    <w:rsid w:val="005430D4"/>
    <w:rsid w:val="00544F56"/>
    <w:rsid w:val="00545A64"/>
    <w:rsid w:val="005463AE"/>
    <w:rsid w:val="0055213A"/>
    <w:rsid w:val="005551E0"/>
    <w:rsid w:val="00566A8A"/>
    <w:rsid w:val="00570D6A"/>
    <w:rsid w:val="0057625F"/>
    <w:rsid w:val="005778E9"/>
    <w:rsid w:val="005836D4"/>
    <w:rsid w:val="0058381B"/>
    <w:rsid w:val="00584113"/>
    <w:rsid w:val="0059057A"/>
    <w:rsid w:val="005917EC"/>
    <w:rsid w:val="0059532D"/>
    <w:rsid w:val="005A21F6"/>
    <w:rsid w:val="005A5794"/>
    <w:rsid w:val="005A7791"/>
    <w:rsid w:val="005A7910"/>
    <w:rsid w:val="005B0E9C"/>
    <w:rsid w:val="005B13EE"/>
    <w:rsid w:val="005B1C23"/>
    <w:rsid w:val="005B5EAD"/>
    <w:rsid w:val="005B7044"/>
    <w:rsid w:val="005B71F4"/>
    <w:rsid w:val="005B7FC4"/>
    <w:rsid w:val="005D10AB"/>
    <w:rsid w:val="005D19AD"/>
    <w:rsid w:val="005E02A7"/>
    <w:rsid w:val="005E362B"/>
    <w:rsid w:val="005E71F8"/>
    <w:rsid w:val="005F686D"/>
    <w:rsid w:val="00600863"/>
    <w:rsid w:val="00605867"/>
    <w:rsid w:val="00606A13"/>
    <w:rsid w:val="00606C3D"/>
    <w:rsid w:val="00612EEF"/>
    <w:rsid w:val="006205AF"/>
    <w:rsid w:val="00620B0C"/>
    <w:rsid w:val="006248A5"/>
    <w:rsid w:val="006266A8"/>
    <w:rsid w:val="00641824"/>
    <w:rsid w:val="00646374"/>
    <w:rsid w:val="00654749"/>
    <w:rsid w:val="00657746"/>
    <w:rsid w:val="00666D9E"/>
    <w:rsid w:val="006671A9"/>
    <w:rsid w:val="00667D22"/>
    <w:rsid w:val="0067077C"/>
    <w:rsid w:val="00672EBE"/>
    <w:rsid w:val="0067342A"/>
    <w:rsid w:val="00674233"/>
    <w:rsid w:val="00675592"/>
    <w:rsid w:val="00687ACD"/>
    <w:rsid w:val="006906A3"/>
    <w:rsid w:val="006946F9"/>
    <w:rsid w:val="00694ABA"/>
    <w:rsid w:val="00696442"/>
    <w:rsid w:val="006A1710"/>
    <w:rsid w:val="006A7C1B"/>
    <w:rsid w:val="006B1183"/>
    <w:rsid w:val="006C6D94"/>
    <w:rsid w:val="006C7219"/>
    <w:rsid w:val="006D0318"/>
    <w:rsid w:val="006D3708"/>
    <w:rsid w:val="006D47D1"/>
    <w:rsid w:val="006D6DDA"/>
    <w:rsid w:val="006E1170"/>
    <w:rsid w:val="006E156E"/>
    <w:rsid w:val="006E1890"/>
    <w:rsid w:val="006E2B68"/>
    <w:rsid w:val="006F04AC"/>
    <w:rsid w:val="006F09A7"/>
    <w:rsid w:val="006F185F"/>
    <w:rsid w:val="006F1E3C"/>
    <w:rsid w:val="006F4F29"/>
    <w:rsid w:val="0070150A"/>
    <w:rsid w:val="00703CEB"/>
    <w:rsid w:val="00704732"/>
    <w:rsid w:val="007113B1"/>
    <w:rsid w:val="00712F51"/>
    <w:rsid w:val="00715413"/>
    <w:rsid w:val="00717EFD"/>
    <w:rsid w:val="007270F4"/>
    <w:rsid w:val="00730D08"/>
    <w:rsid w:val="0075125C"/>
    <w:rsid w:val="00752CBA"/>
    <w:rsid w:val="00754113"/>
    <w:rsid w:val="007551D8"/>
    <w:rsid w:val="00757AA1"/>
    <w:rsid w:val="007645ED"/>
    <w:rsid w:val="0076572E"/>
    <w:rsid w:val="00767CBA"/>
    <w:rsid w:val="00770367"/>
    <w:rsid w:val="00773E9D"/>
    <w:rsid w:val="00777C70"/>
    <w:rsid w:val="00780319"/>
    <w:rsid w:val="00781C73"/>
    <w:rsid w:val="00784294"/>
    <w:rsid w:val="00784C56"/>
    <w:rsid w:val="00795BB4"/>
    <w:rsid w:val="00797D65"/>
    <w:rsid w:val="007A0F40"/>
    <w:rsid w:val="007B03A4"/>
    <w:rsid w:val="007C36B5"/>
    <w:rsid w:val="007C49D1"/>
    <w:rsid w:val="007C62D8"/>
    <w:rsid w:val="007C65E0"/>
    <w:rsid w:val="007E039C"/>
    <w:rsid w:val="007E315A"/>
    <w:rsid w:val="007F3402"/>
    <w:rsid w:val="007F4E6B"/>
    <w:rsid w:val="007F6026"/>
    <w:rsid w:val="007F656B"/>
    <w:rsid w:val="007F7B95"/>
    <w:rsid w:val="00807460"/>
    <w:rsid w:val="008127E5"/>
    <w:rsid w:val="008163AC"/>
    <w:rsid w:val="00816B4C"/>
    <w:rsid w:val="00822C03"/>
    <w:rsid w:val="00826459"/>
    <w:rsid w:val="00831AA2"/>
    <w:rsid w:val="00842CA9"/>
    <w:rsid w:val="00850866"/>
    <w:rsid w:val="008576CD"/>
    <w:rsid w:val="008579AB"/>
    <w:rsid w:val="00860941"/>
    <w:rsid w:val="0086273F"/>
    <w:rsid w:val="0086296B"/>
    <w:rsid w:val="008655D3"/>
    <w:rsid w:val="0087266C"/>
    <w:rsid w:val="0087512A"/>
    <w:rsid w:val="00876471"/>
    <w:rsid w:val="0087751D"/>
    <w:rsid w:val="00877C85"/>
    <w:rsid w:val="0088164D"/>
    <w:rsid w:val="00885045"/>
    <w:rsid w:val="00887FE3"/>
    <w:rsid w:val="0089240E"/>
    <w:rsid w:val="00895F4A"/>
    <w:rsid w:val="00897AB3"/>
    <w:rsid w:val="008A1111"/>
    <w:rsid w:val="008B2E9D"/>
    <w:rsid w:val="008B3F0E"/>
    <w:rsid w:val="008B4BDA"/>
    <w:rsid w:val="008B4E5B"/>
    <w:rsid w:val="008B5EC4"/>
    <w:rsid w:val="008B7A73"/>
    <w:rsid w:val="008C7DB9"/>
    <w:rsid w:val="008D065C"/>
    <w:rsid w:val="008D136A"/>
    <w:rsid w:val="008D7902"/>
    <w:rsid w:val="008E4BFB"/>
    <w:rsid w:val="00901D6F"/>
    <w:rsid w:val="00901E52"/>
    <w:rsid w:val="009031E4"/>
    <w:rsid w:val="00911599"/>
    <w:rsid w:val="00911E27"/>
    <w:rsid w:val="00911EF6"/>
    <w:rsid w:val="00917A00"/>
    <w:rsid w:val="00917E87"/>
    <w:rsid w:val="00926E66"/>
    <w:rsid w:val="009326F1"/>
    <w:rsid w:val="00933129"/>
    <w:rsid w:val="009404D0"/>
    <w:rsid w:val="00947B63"/>
    <w:rsid w:val="00951667"/>
    <w:rsid w:val="00955DB4"/>
    <w:rsid w:val="00962C64"/>
    <w:rsid w:val="00970864"/>
    <w:rsid w:val="00971C83"/>
    <w:rsid w:val="00977B5A"/>
    <w:rsid w:val="00981667"/>
    <w:rsid w:val="009846ED"/>
    <w:rsid w:val="00994207"/>
    <w:rsid w:val="00995F95"/>
    <w:rsid w:val="009A0019"/>
    <w:rsid w:val="009A1A66"/>
    <w:rsid w:val="009B4D35"/>
    <w:rsid w:val="009B66ED"/>
    <w:rsid w:val="009C0C9E"/>
    <w:rsid w:val="009C28A7"/>
    <w:rsid w:val="009C2C61"/>
    <w:rsid w:val="009C5037"/>
    <w:rsid w:val="009C6338"/>
    <w:rsid w:val="009D6992"/>
    <w:rsid w:val="009D7E10"/>
    <w:rsid w:val="009E0847"/>
    <w:rsid w:val="009E7E60"/>
    <w:rsid w:val="009F2254"/>
    <w:rsid w:val="009F2F33"/>
    <w:rsid w:val="009F5CA7"/>
    <w:rsid w:val="009F5E2F"/>
    <w:rsid w:val="00A05A86"/>
    <w:rsid w:val="00A05B20"/>
    <w:rsid w:val="00A05DAD"/>
    <w:rsid w:val="00A07DDA"/>
    <w:rsid w:val="00A10E63"/>
    <w:rsid w:val="00A16C77"/>
    <w:rsid w:val="00A16F56"/>
    <w:rsid w:val="00A172DA"/>
    <w:rsid w:val="00A24033"/>
    <w:rsid w:val="00A25273"/>
    <w:rsid w:val="00A25496"/>
    <w:rsid w:val="00A2756A"/>
    <w:rsid w:val="00A30137"/>
    <w:rsid w:val="00A3345D"/>
    <w:rsid w:val="00A36817"/>
    <w:rsid w:val="00A40976"/>
    <w:rsid w:val="00A40F98"/>
    <w:rsid w:val="00A42AEA"/>
    <w:rsid w:val="00A43AA7"/>
    <w:rsid w:val="00A445B9"/>
    <w:rsid w:val="00A45258"/>
    <w:rsid w:val="00A47CBB"/>
    <w:rsid w:val="00A54CF4"/>
    <w:rsid w:val="00A54F53"/>
    <w:rsid w:val="00A5537A"/>
    <w:rsid w:val="00A628D5"/>
    <w:rsid w:val="00A63EDC"/>
    <w:rsid w:val="00A7227D"/>
    <w:rsid w:val="00A7361B"/>
    <w:rsid w:val="00A76DB6"/>
    <w:rsid w:val="00A813B6"/>
    <w:rsid w:val="00A82736"/>
    <w:rsid w:val="00A82979"/>
    <w:rsid w:val="00A82F90"/>
    <w:rsid w:val="00A84F50"/>
    <w:rsid w:val="00A86470"/>
    <w:rsid w:val="00A87786"/>
    <w:rsid w:val="00A904C0"/>
    <w:rsid w:val="00A9486B"/>
    <w:rsid w:val="00AA0927"/>
    <w:rsid w:val="00AA12FA"/>
    <w:rsid w:val="00AA1371"/>
    <w:rsid w:val="00AA5505"/>
    <w:rsid w:val="00AA5985"/>
    <w:rsid w:val="00AA5A55"/>
    <w:rsid w:val="00AB08FC"/>
    <w:rsid w:val="00AB5893"/>
    <w:rsid w:val="00AB676E"/>
    <w:rsid w:val="00AC2BB9"/>
    <w:rsid w:val="00AC3009"/>
    <w:rsid w:val="00AC31D3"/>
    <w:rsid w:val="00AC6EEC"/>
    <w:rsid w:val="00AC77BA"/>
    <w:rsid w:val="00AD46F6"/>
    <w:rsid w:val="00AD5EFF"/>
    <w:rsid w:val="00AE167B"/>
    <w:rsid w:val="00AE2523"/>
    <w:rsid w:val="00AE3370"/>
    <w:rsid w:val="00AE4434"/>
    <w:rsid w:val="00AE4E0D"/>
    <w:rsid w:val="00AF1E02"/>
    <w:rsid w:val="00AF3695"/>
    <w:rsid w:val="00AF43E2"/>
    <w:rsid w:val="00AF457A"/>
    <w:rsid w:val="00AF51AB"/>
    <w:rsid w:val="00AF6CCA"/>
    <w:rsid w:val="00B0095F"/>
    <w:rsid w:val="00B029B6"/>
    <w:rsid w:val="00B04854"/>
    <w:rsid w:val="00B06BDD"/>
    <w:rsid w:val="00B07A6C"/>
    <w:rsid w:val="00B125A8"/>
    <w:rsid w:val="00B12B1D"/>
    <w:rsid w:val="00B130F6"/>
    <w:rsid w:val="00B2183A"/>
    <w:rsid w:val="00B21A61"/>
    <w:rsid w:val="00B241DA"/>
    <w:rsid w:val="00B25262"/>
    <w:rsid w:val="00B267B0"/>
    <w:rsid w:val="00B30986"/>
    <w:rsid w:val="00B3658C"/>
    <w:rsid w:val="00B424F6"/>
    <w:rsid w:val="00B45652"/>
    <w:rsid w:val="00B53054"/>
    <w:rsid w:val="00B63B8A"/>
    <w:rsid w:val="00B67EAB"/>
    <w:rsid w:val="00B712F3"/>
    <w:rsid w:val="00B758A5"/>
    <w:rsid w:val="00B76B82"/>
    <w:rsid w:val="00B82DF3"/>
    <w:rsid w:val="00B85CE4"/>
    <w:rsid w:val="00B867ED"/>
    <w:rsid w:val="00B96406"/>
    <w:rsid w:val="00BA0F5B"/>
    <w:rsid w:val="00BA25EA"/>
    <w:rsid w:val="00BA2D7C"/>
    <w:rsid w:val="00BA4103"/>
    <w:rsid w:val="00BA50EA"/>
    <w:rsid w:val="00BA6F7B"/>
    <w:rsid w:val="00BB0999"/>
    <w:rsid w:val="00BB0B51"/>
    <w:rsid w:val="00BB0FC2"/>
    <w:rsid w:val="00BB4131"/>
    <w:rsid w:val="00BB6E48"/>
    <w:rsid w:val="00BC4065"/>
    <w:rsid w:val="00BC6AE9"/>
    <w:rsid w:val="00BD07E7"/>
    <w:rsid w:val="00BD0E45"/>
    <w:rsid w:val="00BD6F0B"/>
    <w:rsid w:val="00BE2B89"/>
    <w:rsid w:val="00BE2F16"/>
    <w:rsid w:val="00BE3DE5"/>
    <w:rsid w:val="00BE43F5"/>
    <w:rsid w:val="00BE6FAD"/>
    <w:rsid w:val="00BF051C"/>
    <w:rsid w:val="00C0452F"/>
    <w:rsid w:val="00C074FA"/>
    <w:rsid w:val="00C07964"/>
    <w:rsid w:val="00C20453"/>
    <w:rsid w:val="00C2799A"/>
    <w:rsid w:val="00C306F7"/>
    <w:rsid w:val="00C42B65"/>
    <w:rsid w:val="00C51A3C"/>
    <w:rsid w:val="00C51B29"/>
    <w:rsid w:val="00C526FF"/>
    <w:rsid w:val="00C546F6"/>
    <w:rsid w:val="00C60023"/>
    <w:rsid w:val="00C62319"/>
    <w:rsid w:val="00C64310"/>
    <w:rsid w:val="00C67939"/>
    <w:rsid w:val="00C81172"/>
    <w:rsid w:val="00C8354E"/>
    <w:rsid w:val="00C86523"/>
    <w:rsid w:val="00C905F1"/>
    <w:rsid w:val="00C91DB9"/>
    <w:rsid w:val="00C96864"/>
    <w:rsid w:val="00CB6545"/>
    <w:rsid w:val="00CB7C72"/>
    <w:rsid w:val="00CC128F"/>
    <w:rsid w:val="00CC2755"/>
    <w:rsid w:val="00CC7B53"/>
    <w:rsid w:val="00CD737D"/>
    <w:rsid w:val="00CE1148"/>
    <w:rsid w:val="00CE382E"/>
    <w:rsid w:val="00CE4137"/>
    <w:rsid w:val="00CF476A"/>
    <w:rsid w:val="00CF6EE5"/>
    <w:rsid w:val="00D023BC"/>
    <w:rsid w:val="00D04C96"/>
    <w:rsid w:val="00D0632C"/>
    <w:rsid w:val="00D112F1"/>
    <w:rsid w:val="00D16176"/>
    <w:rsid w:val="00D174EB"/>
    <w:rsid w:val="00D3290C"/>
    <w:rsid w:val="00D4014A"/>
    <w:rsid w:val="00D4456A"/>
    <w:rsid w:val="00D44B15"/>
    <w:rsid w:val="00D4567F"/>
    <w:rsid w:val="00D5239B"/>
    <w:rsid w:val="00D526F6"/>
    <w:rsid w:val="00D535D7"/>
    <w:rsid w:val="00D54387"/>
    <w:rsid w:val="00D60B4A"/>
    <w:rsid w:val="00D65E11"/>
    <w:rsid w:val="00D665DE"/>
    <w:rsid w:val="00D70475"/>
    <w:rsid w:val="00D75560"/>
    <w:rsid w:val="00D759B4"/>
    <w:rsid w:val="00D76B47"/>
    <w:rsid w:val="00D8534B"/>
    <w:rsid w:val="00D85B39"/>
    <w:rsid w:val="00D91F29"/>
    <w:rsid w:val="00D92422"/>
    <w:rsid w:val="00D92AAE"/>
    <w:rsid w:val="00D93FE8"/>
    <w:rsid w:val="00D94FD5"/>
    <w:rsid w:val="00DA3A28"/>
    <w:rsid w:val="00DB2E6D"/>
    <w:rsid w:val="00DB48D2"/>
    <w:rsid w:val="00DB77A0"/>
    <w:rsid w:val="00DC45A3"/>
    <w:rsid w:val="00DD0CA4"/>
    <w:rsid w:val="00DD3E1C"/>
    <w:rsid w:val="00DD464F"/>
    <w:rsid w:val="00DD7795"/>
    <w:rsid w:val="00DD7F16"/>
    <w:rsid w:val="00DE209E"/>
    <w:rsid w:val="00DF051A"/>
    <w:rsid w:val="00DF2EAB"/>
    <w:rsid w:val="00DF762D"/>
    <w:rsid w:val="00E03838"/>
    <w:rsid w:val="00E04C49"/>
    <w:rsid w:val="00E07B93"/>
    <w:rsid w:val="00E07C8C"/>
    <w:rsid w:val="00E1168E"/>
    <w:rsid w:val="00E15402"/>
    <w:rsid w:val="00E17232"/>
    <w:rsid w:val="00E200BD"/>
    <w:rsid w:val="00E30116"/>
    <w:rsid w:val="00E3163C"/>
    <w:rsid w:val="00E35231"/>
    <w:rsid w:val="00E37EC5"/>
    <w:rsid w:val="00E4594D"/>
    <w:rsid w:val="00E4625A"/>
    <w:rsid w:val="00E46A34"/>
    <w:rsid w:val="00E4729C"/>
    <w:rsid w:val="00E50312"/>
    <w:rsid w:val="00E521EC"/>
    <w:rsid w:val="00E61459"/>
    <w:rsid w:val="00E62CDE"/>
    <w:rsid w:val="00E63DF9"/>
    <w:rsid w:val="00E67759"/>
    <w:rsid w:val="00E75490"/>
    <w:rsid w:val="00E76559"/>
    <w:rsid w:val="00E825C6"/>
    <w:rsid w:val="00EA03B2"/>
    <w:rsid w:val="00EA444F"/>
    <w:rsid w:val="00EB22C9"/>
    <w:rsid w:val="00EB4B01"/>
    <w:rsid w:val="00EB4B9B"/>
    <w:rsid w:val="00EC3ECF"/>
    <w:rsid w:val="00EC478A"/>
    <w:rsid w:val="00EC4F48"/>
    <w:rsid w:val="00EC55AC"/>
    <w:rsid w:val="00EC64DD"/>
    <w:rsid w:val="00ED23F7"/>
    <w:rsid w:val="00ED2AFB"/>
    <w:rsid w:val="00EE1C7D"/>
    <w:rsid w:val="00EE325F"/>
    <w:rsid w:val="00EE4D62"/>
    <w:rsid w:val="00EF4259"/>
    <w:rsid w:val="00EF7A4F"/>
    <w:rsid w:val="00F01237"/>
    <w:rsid w:val="00F0164D"/>
    <w:rsid w:val="00F025DE"/>
    <w:rsid w:val="00F03599"/>
    <w:rsid w:val="00F03C66"/>
    <w:rsid w:val="00F04F5B"/>
    <w:rsid w:val="00F05731"/>
    <w:rsid w:val="00F1093F"/>
    <w:rsid w:val="00F15075"/>
    <w:rsid w:val="00F32622"/>
    <w:rsid w:val="00F3473D"/>
    <w:rsid w:val="00F3542E"/>
    <w:rsid w:val="00F379DF"/>
    <w:rsid w:val="00F44B25"/>
    <w:rsid w:val="00F456B4"/>
    <w:rsid w:val="00F5028B"/>
    <w:rsid w:val="00F52DB4"/>
    <w:rsid w:val="00F6275E"/>
    <w:rsid w:val="00F63AA1"/>
    <w:rsid w:val="00F65ABC"/>
    <w:rsid w:val="00F758A0"/>
    <w:rsid w:val="00F75C5A"/>
    <w:rsid w:val="00F77EED"/>
    <w:rsid w:val="00F82387"/>
    <w:rsid w:val="00F833CC"/>
    <w:rsid w:val="00F852C2"/>
    <w:rsid w:val="00F87807"/>
    <w:rsid w:val="00F90496"/>
    <w:rsid w:val="00F96434"/>
    <w:rsid w:val="00F96FB1"/>
    <w:rsid w:val="00FA27C4"/>
    <w:rsid w:val="00FA46A8"/>
    <w:rsid w:val="00FA5B30"/>
    <w:rsid w:val="00FB157F"/>
    <w:rsid w:val="00FB3CCB"/>
    <w:rsid w:val="00FB641F"/>
    <w:rsid w:val="00FB74F9"/>
    <w:rsid w:val="00FC3D4A"/>
    <w:rsid w:val="00FD05D6"/>
    <w:rsid w:val="00FD17B0"/>
    <w:rsid w:val="00FE2021"/>
    <w:rsid w:val="00FE24B3"/>
    <w:rsid w:val="00FE4F38"/>
    <w:rsid w:val="00FF43CB"/>
    <w:rsid w:val="00FF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character" w:customStyle="1" w:styleId="sb8d990e2">
    <w:name w:val="sb8d990e2"/>
    <w:basedOn w:val="DefaultParagraphFont"/>
    <w:rsid w:val="00A63EDC"/>
  </w:style>
  <w:style w:type="character" w:customStyle="1" w:styleId="s85f22697">
    <w:name w:val="s85f22697"/>
    <w:basedOn w:val="DefaultParagraphFont"/>
    <w:rsid w:val="002609E5"/>
  </w:style>
  <w:style w:type="character" w:customStyle="1" w:styleId="s6b621b36">
    <w:name w:val="s6b621b36"/>
    <w:basedOn w:val="DefaultParagraphFont"/>
    <w:rsid w:val="004F19FC"/>
  </w:style>
  <w:style w:type="character" w:styleId="Strong">
    <w:name w:val="Strong"/>
    <w:uiPriority w:val="22"/>
    <w:qFormat/>
    <w:rsid w:val="00EC478A"/>
    <w:rPr>
      <w:b/>
      <w:bCs/>
    </w:rPr>
  </w:style>
  <w:style w:type="character" w:customStyle="1" w:styleId="hps">
    <w:name w:val="hps"/>
    <w:basedOn w:val="DefaultParagraphFont"/>
    <w:rsid w:val="004223D7"/>
  </w:style>
  <w:style w:type="character" w:customStyle="1" w:styleId="shorttext">
    <w:name w:val="short_text"/>
    <w:basedOn w:val="DefaultParagraphFont"/>
    <w:rsid w:val="009846ED"/>
  </w:style>
  <w:style w:type="character" w:styleId="FollowedHyperlink">
    <w:name w:val="FollowedHyperlink"/>
    <w:rsid w:val="00092686"/>
    <w:rPr>
      <w:color w:val="800080"/>
      <w:u w:val="single"/>
    </w:rPr>
  </w:style>
  <w:style w:type="character" w:customStyle="1" w:styleId="s7d2086b4">
    <w:name w:val="s7d2086b4"/>
    <w:basedOn w:val="DefaultParagraphFont"/>
    <w:rsid w:val="002F65A0"/>
  </w:style>
  <w:style w:type="character" w:customStyle="1" w:styleId="wordhighlighted">
    <w:name w:val="wordhighlighted"/>
    <w:basedOn w:val="DefaultParagraphFont"/>
    <w:rsid w:val="00005EDC"/>
  </w:style>
  <w:style w:type="character" w:customStyle="1" w:styleId="column01">
    <w:name w:val="column01"/>
    <w:basedOn w:val="DefaultParagraphFont"/>
    <w:rsid w:val="00005EDC"/>
  </w:style>
  <w:style w:type="paragraph" w:customStyle="1" w:styleId="Normal1">
    <w:name w:val="Normal1"/>
    <w:basedOn w:val="Normal"/>
    <w:rsid w:val="00BE6FAD"/>
    <w:pPr>
      <w:spacing w:before="100" w:beforeAutospacing="1" w:after="100" w:afterAutospacing="1"/>
    </w:pPr>
  </w:style>
  <w:style w:type="character" w:customStyle="1" w:styleId="HeaderChar">
    <w:name w:val="Header Char"/>
    <w:link w:val="Header"/>
    <w:uiPriority w:val="99"/>
    <w:rsid w:val="002841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character" w:customStyle="1" w:styleId="sb8d990e2">
    <w:name w:val="sb8d990e2"/>
    <w:basedOn w:val="DefaultParagraphFont"/>
    <w:rsid w:val="00A63EDC"/>
  </w:style>
  <w:style w:type="character" w:customStyle="1" w:styleId="s85f22697">
    <w:name w:val="s85f22697"/>
    <w:basedOn w:val="DefaultParagraphFont"/>
    <w:rsid w:val="002609E5"/>
  </w:style>
  <w:style w:type="character" w:customStyle="1" w:styleId="s6b621b36">
    <w:name w:val="s6b621b36"/>
    <w:basedOn w:val="DefaultParagraphFont"/>
    <w:rsid w:val="004F19FC"/>
  </w:style>
  <w:style w:type="character" w:styleId="Strong">
    <w:name w:val="Strong"/>
    <w:uiPriority w:val="22"/>
    <w:qFormat/>
    <w:rsid w:val="00EC478A"/>
    <w:rPr>
      <w:b/>
      <w:bCs/>
    </w:rPr>
  </w:style>
  <w:style w:type="character" w:customStyle="1" w:styleId="hps">
    <w:name w:val="hps"/>
    <w:basedOn w:val="DefaultParagraphFont"/>
    <w:rsid w:val="004223D7"/>
  </w:style>
  <w:style w:type="character" w:customStyle="1" w:styleId="shorttext">
    <w:name w:val="short_text"/>
    <w:basedOn w:val="DefaultParagraphFont"/>
    <w:rsid w:val="009846ED"/>
  </w:style>
  <w:style w:type="character" w:styleId="FollowedHyperlink">
    <w:name w:val="FollowedHyperlink"/>
    <w:rsid w:val="00092686"/>
    <w:rPr>
      <w:color w:val="800080"/>
      <w:u w:val="single"/>
    </w:rPr>
  </w:style>
  <w:style w:type="character" w:customStyle="1" w:styleId="s7d2086b4">
    <w:name w:val="s7d2086b4"/>
    <w:basedOn w:val="DefaultParagraphFont"/>
    <w:rsid w:val="002F65A0"/>
  </w:style>
  <w:style w:type="character" w:customStyle="1" w:styleId="wordhighlighted">
    <w:name w:val="wordhighlighted"/>
    <w:basedOn w:val="DefaultParagraphFont"/>
    <w:rsid w:val="00005EDC"/>
  </w:style>
  <w:style w:type="character" w:customStyle="1" w:styleId="column01">
    <w:name w:val="column01"/>
    <w:basedOn w:val="DefaultParagraphFont"/>
    <w:rsid w:val="00005EDC"/>
  </w:style>
  <w:style w:type="paragraph" w:customStyle="1" w:styleId="Normal1">
    <w:name w:val="Normal1"/>
    <w:basedOn w:val="Normal"/>
    <w:rsid w:val="00BE6FAD"/>
    <w:pPr>
      <w:spacing w:before="100" w:beforeAutospacing="1" w:after="100" w:afterAutospacing="1"/>
    </w:pPr>
  </w:style>
  <w:style w:type="character" w:customStyle="1" w:styleId="HeaderChar">
    <w:name w:val="Header Char"/>
    <w:link w:val="Header"/>
    <w:uiPriority w:val="99"/>
    <w:rsid w:val="00284160"/>
    <w:rPr>
      <w:sz w:val="24"/>
      <w:szCs w:val="24"/>
    </w:rPr>
  </w:style>
</w:styles>
</file>

<file path=word/webSettings.xml><?xml version="1.0" encoding="utf-8"?>
<w:webSettings xmlns:r="http://schemas.openxmlformats.org/officeDocument/2006/relationships" xmlns:w="http://schemas.openxmlformats.org/wordprocessingml/2006/main">
  <w:divs>
    <w:div w:id="273365346">
      <w:bodyDiv w:val="1"/>
      <w:marLeft w:val="0"/>
      <w:marRight w:val="0"/>
      <w:marTop w:val="0"/>
      <w:marBottom w:val="0"/>
      <w:divBdr>
        <w:top w:val="none" w:sz="0" w:space="0" w:color="auto"/>
        <w:left w:val="none" w:sz="0" w:space="0" w:color="auto"/>
        <w:bottom w:val="none" w:sz="0" w:space="0" w:color="auto"/>
        <w:right w:val="none" w:sz="0" w:space="0" w:color="auto"/>
      </w:divBdr>
      <w:divsChild>
        <w:div w:id="1802993300">
          <w:marLeft w:val="0"/>
          <w:marRight w:val="0"/>
          <w:marTop w:val="188"/>
          <w:marBottom w:val="188"/>
          <w:divBdr>
            <w:top w:val="none" w:sz="0" w:space="0" w:color="auto"/>
            <w:left w:val="none" w:sz="0" w:space="0" w:color="auto"/>
            <w:bottom w:val="none" w:sz="0" w:space="0" w:color="auto"/>
            <w:right w:val="none" w:sz="0" w:space="0" w:color="auto"/>
          </w:divBdr>
          <w:divsChild>
            <w:div w:id="847671730">
              <w:marLeft w:val="0"/>
              <w:marRight w:val="0"/>
              <w:marTop w:val="0"/>
              <w:marBottom w:val="63"/>
              <w:divBdr>
                <w:top w:val="none" w:sz="0" w:space="0" w:color="auto"/>
                <w:left w:val="none" w:sz="0" w:space="0" w:color="auto"/>
                <w:bottom w:val="none" w:sz="0" w:space="0" w:color="auto"/>
                <w:right w:val="none" w:sz="0" w:space="0" w:color="auto"/>
              </w:divBdr>
              <w:divsChild>
                <w:div w:id="20379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48008">
      <w:bodyDiv w:val="1"/>
      <w:marLeft w:val="0"/>
      <w:marRight w:val="0"/>
      <w:marTop w:val="0"/>
      <w:marBottom w:val="0"/>
      <w:divBdr>
        <w:top w:val="none" w:sz="0" w:space="0" w:color="auto"/>
        <w:left w:val="none" w:sz="0" w:space="0" w:color="auto"/>
        <w:bottom w:val="none" w:sz="0" w:space="0" w:color="auto"/>
        <w:right w:val="none" w:sz="0" w:space="0" w:color="auto"/>
      </w:divBdr>
      <w:divsChild>
        <w:div w:id="592515217">
          <w:marLeft w:val="0"/>
          <w:marRight w:val="0"/>
          <w:marTop w:val="0"/>
          <w:marBottom w:val="0"/>
          <w:divBdr>
            <w:top w:val="none" w:sz="0" w:space="0" w:color="auto"/>
            <w:left w:val="none" w:sz="0" w:space="0" w:color="auto"/>
            <w:bottom w:val="none" w:sz="0" w:space="0" w:color="auto"/>
            <w:right w:val="none" w:sz="0" w:space="0" w:color="auto"/>
          </w:divBdr>
          <w:divsChild>
            <w:div w:id="896862029">
              <w:marLeft w:val="0"/>
              <w:marRight w:val="0"/>
              <w:marTop w:val="0"/>
              <w:marBottom w:val="0"/>
              <w:divBdr>
                <w:top w:val="none" w:sz="0" w:space="0" w:color="auto"/>
                <w:left w:val="none" w:sz="0" w:space="0" w:color="auto"/>
                <w:bottom w:val="none" w:sz="0" w:space="0" w:color="auto"/>
                <w:right w:val="none" w:sz="0" w:space="0" w:color="auto"/>
              </w:divBdr>
              <w:divsChild>
                <w:div w:id="235093391">
                  <w:marLeft w:val="0"/>
                  <w:marRight w:val="0"/>
                  <w:marTop w:val="0"/>
                  <w:marBottom w:val="0"/>
                  <w:divBdr>
                    <w:top w:val="none" w:sz="0" w:space="0" w:color="auto"/>
                    <w:left w:val="none" w:sz="0" w:space="0" w:color="auto"/>
                    <w:bottom w:val="none" w:sz="0" w:space="0" w:color="auto"/>
                    <w:right w:val="none" w:sz="0" w:space="0" w:color="auto"/>
                  </w:divBdr>
                  <w:divsChild>
                    <w:div w:id="1556432141">
                      <w:marLeft w:val="0"/>
                      <w:marRight w:val="0"/>
                      <w:marTop w:val="0"/>
                      <w:marBottom w:val="0"/>
                      <w:divBdr>
                        <w:top w:val="none" w:sz="0" w:space="0" w:color="auto"/>
                        <w:left w:val="none" w:sz="0" w:space="0" w:color="auto"/>
                        <w:bottom w:val="none" w:sz="0" w:space="0" w:color="auto"/>
                        <w:right w:val="none" w:sz="0" w:space="0" w:color="auto"/>
                      </w:divBdr>
                      <w:divsChild>
                        <w:div w:id="900823484">
                          <w:marLeft w:val="0"/>
                          <w:marRight w:val="0"/>
                          <w:marTop w:val="0"/>
                          <w:marBottom w:val="0"/>
                          <w:divBdr>
                            <w:top w:val="none" w:sz="0" w:space="0" w:color="auto"/>
                            <w:left w:val="none" w:sz="0" w:space="0" w:color="auto"/>
                            <w:bottom w:val="none" w:sz="0" w:space="0" w:color="auto"/>
                            <w:right w:val="none" w:sz="0" w:space="0" w:color="auto"/>
                          </w:divBdr>
                          <w:divsChild>
                            <w:div w:id="1985812019">
                              <w:marLeft w:val="0"/>
                              <w:marRight w:val="0"/>
                              <w:marTop w:val="0"/>
                              <w:marBottom w:val="0"/>
                              <w:divBdr>
                                <w:top w:val="none" w:sz="0" w:space="0" w:color="auto"/>
                                <w:left w:val="none" w:sz="0" w:space="0" w:color="auto"/>
                                <w:bottom w:val="none" w:sz="0" w:space="0" w:color="auto"/>
                                <w:right w:val="none" w:sz="0" w:space="0" w:color="auto"/>
                              </w:divBdr>
                              <w:divsChild>
                                <w:div w:id="1634409180">
                                  <w:marLeft w:val="0"/>
                                  <w:marRight w:val="0"/>
                                  <w:marTop w:val="0"/>
                                  <w:marBottom w:val="0"/>
                                  <w:divBdr>
                                    <w:top w:val="none" w:sz="0" w:space="0" w:color="auto"/>
                                    <w:left w:val="none" w:sz="0" w:space="0" w:color="auto"/>
                                    <w:bottom w:val="none" w:sz="0" w:space="0" w:color="auto"/>
                                    <w:right w:val="none" w:sz="0" w:space="0" w:color="auto"/>
                                  </w:divBdr>
                                  <w:divsChild>
                                    <w:div w:id="1625500200">
                                      <w:marLeft w:val="0"/>
                                      <w:marRight w:val="0"/>
                                      <w:marTop w:val="0"/>
                                      <w:marBottom w:val="0"/>
                                      <w:divBdr>
                                        <w:top w:val="none" w:sz="0" w:space="0" w:color="auto"/>
                                        <w:left w:val="none" w:sz="0" w:space="0" w:color="auto"/>
                                        <w:bottom w:val="none" w:sz="0" w:space="0" w:color="auto"/>
                                        <w:right w:val="none" w:sz="0" w:space="0" w:color="auto"/>
                                      </w:divBdr>
                                      <w:divsChild>
                                        <w:div w:id="13632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769069">
      <w:bodyDiv w:val="1"/>
      <w:marLeft w:val="0"/>
      <w:marRight w:val="0"/>
      <w:marTop w:val="0"/>
      <w:marBottom w:val="0"/>
      <w:divBdr>
        <w:top w:val="none" w:sz="0" w:space="0" w:color="auto"/>
        <w:left w:val="none" w:sz="0" w:space="0" w:color="auto"/>
        <w:bottom w:val="none" w:sz="0" w:space="0" w:color="auto"/>
        <w:right w:val="none" w:sz="0" w:space="0" w:color="auto"/>
      </w:divBdr>
      <w:divsChild>
        <w:div w:id="1689678694">
          <w:marLeft w:val="0"/>
          <w:marRight w:val="0"/>
          <w:marTop w:val="0"/>
          <w:marBottom w:val="0"/>
          <w:divBdr>
            <w:top w:val="none" w:sz="0" w:space="0" w:color="auto"/>
            <w:left w:val="none" w:sz="0" w:space="0" w:color="auto"/>
            <w:bottom w:val="none" w:sz="0" w:space="0" w:color="auto"/>
            <w:right w:val="none" w:sz="0" w:space="0" w:color="auto"/>
          </w:divBdr>
          <w:divsChild>
            <w:div w:id="652954902">
              <w:marLeft w:val="0"/>
              <w:marRight w:val="0"/>
              <w:marTop w:val="0"/>
              <w:marBottom w:val="0"/>
              <w:divBdr>
                <w:top w:val="none" w:sz="0" w:space="0" w:color="auto"/>
                <w:left w:val="none" w:sz="0" w:space="0" w:color="auto"/>
                <w:bottom w:val="none" w:sz="0" w:space="0" w:color="auto"/>
                <w:right w:val="none" w:sz="0" w:space="0" w:color="auto"/>
              </w:divBdr>
              <w:divsChild>
                <w:div w:id="1557625469">
                  <w:marLeft w:val="0"/>
                  <w:marRight w:val="0"/>
                  <w:marTop w:val="0"/>
                  <w:marBottom w:val="0"/>
                  <w:divBdr>
                    <w:top w:val="none" w:sz="0" w:space="0" w:color="auto"/>
                    <w:left w:val="none" w:sz="0" w:space="0" w:color="auto"/>
                    <w:bottom w:val="none" w:sz="0" w:space="0" w:color="auto"/>
                    <w:right w:val="none" w:sz="0" w:space="0" w:color="auto"/>
                  </w:divBdr>
                  <w:divsChild>
                    <w:div w:id="1330866202">
                      <w:marLeft w:val="0"/>
                      <w:marRight w:val="0"/>
                      <w:marTop w:val="0"/>
                      <w:marBottom w:val="0"/>
                      <w:divBdr>
                        <w:top w:val="none" w:sz="0" w:space="0" w:color="auto"/>
                        <w:left w:val="none" w:sz="0" w:space="0" w:color="auto"/>
                        <w:bottom w:val="none" w:sz="0" w:space="0" w:color="auto"/>
                        <w:right w:val="none" w:sz="0" w:space="0" w:color="auto"/>
                      </w:divBdr>
                      <w:divsChild>
                        <w:div w:id="1849100167">
                          <w:marLeft w:val="0"/>
                          <w:marRight w:val="0"/>
                          <w:marTop w:val="0"/>
                          <w:marBottom w:val="0"/>
                          <w:divBdr>
                            <w:top w:val="none" w:sz="0" w:space="0" w:color="auto"/>
                            <w:left w:val="none" w:sz="0" w:space="0" w:color="auto"/>
                            <w:bottom w:val="none" w:sz="0" w:space="0" w:color="auto"/>
                            <w:right w:val="none" w:sz="0" w:space="0" w:color="auto"/>
                          </w:divBdr>
                          <w:divsChild>
                            <w:div w:id="206845525">
                              <w:marLeft w:val="0"/>
                              <w:marRight w:val="0"/>
                              <w:marTop w:val="0"/>
                              <w:marBottom w:val="0"/>
                              <w:divBdr>
                                <w:top w:val="none" w:sz="0" w:space="0" w:color="auto"/>
                                <w:left w:val="none" w:sz="0" w:space="0" w:color="auto"/>
                                <w:bottom w:val="none" w:sz="0" w:space="0" w:color="auto"/>
                                <w:right w:val="none" w:sz="0" w:space="0" w:color="auto"/>
                              </w:divBdr>
                              <w:divsChild>
                                <w:div w:id="1442648686">
                                  <w:marLeft w:val="0"/>
                                  <w:marRight w:val="0"/>
                                  <w:marTop w:val="0"/>
                                  <w:marBottom w:val="0"/>
                                  <w:divBdr>
                                    <w:top w:val="none" w:sz="0" w:space="0" w:color="auto"/>
                                    <w:left w:val="none" w:sz="0" w:space="0" w:color="auto"/>
                                    <w:bottom w:val="none" w:sz="0" w:space="0" w:color="auto"/>
                                    <w:right w:val="none" w:sz="0" w:space="0" w:color="auto"/>
                                  </w:divBdr>
                                  <w:divsChild>
                                    <w:div w:id="1180461889">
                                      <w:marLeft w:val="0"/>
                                      <w:marRight w:val="0"/>
                                      <w:marTop w:val="0"/>
                                      <w:marBottom w:val="0"/>
                                      <w:divBdr>
                                        <w:top w:val="none" w:sz="0" w:space="0" w:color="auto"/>
                                        <w:left w:val="none" w:sz="0" w:space="0" w:color="auto"/>
                                        <w:bottom w:val="none" w:sz="0" w:space="0" w:color="auto"/>
                                        <w:right w:val="none" w:sz="0" w:space="0" w:color="auto"/>
                                      </w:divBdr>
                                      <w:divsChild>
                                        <w:div w:id="492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254422">
      <w:bodyDiv w:val="1"/>
      <w:marLeft w:val="0"/>
      <w:marRight w:val="0"/>
      <w:marTop w:val="0"/>
      <w:marBottom w:val="0"/>
      <w:divBdr>
        <w:top w:val="none" w:sz="0" w:space="0" w:color="auto"/>
        <w:left w:val="none" w:sz="0" w:space="0" w:color="auto"/>
        <w:bottom w:val="none" w:sz="0" w:space="0" w:color="auto"/>
        <w:right w:val="none" w:sz="0" w:space="0" w:color="auto"/>
      </w:divBdr>
      <w:divsChild>
        <w:div w:id="499347435">
          <w:marLeft w:val="0"/>
          <w:marRight w:val="0"/>
          <w:marTop w:val="0"/>
          <w:marBottom w:val="0"/>
          <w:divBdr>
            <w:top w:val="none" w:sz="0" w:space="0" w:color="auto"/>
            <w:left w:val="none" w:sz="0" w:space="0" w:color="auto"/>
            <w:bottom w:val="none" w:sz="0" w:space="0" w:color="auto"/>
            <w:right w:val="none" w:sz="0" w:space="0" w:color="auto"/>
          </w:divBdr>
          <w:divsChild>
            <w:div w:id="1065756459">
              <w:marLeft w:val="0"/>
              <w:marRight w:val="0"/>
              <w:marTop w:val="0"/>
              <w:marBottom w:val="0"/>
              <w:divBdr>
                <w:top w:val="none" w:sz="0" w:space="0" w:color="auto"/>
                <w:left w:val="none" w:sz="0" w:space="0" w:color="auto"/>
                <w:bottom w:val="none" w:sz="0" w:space="0" w:color="auto"/>
                <w:right w:val="none" w:sz="0" w:space="0" w:color="auto"/>
              </w:divBdr>
              <w:divsChild>
                <w:div w:id="1972906235">
                  <w:marLeft w:val="0"/>
                  <w:marRight w:val="0"/>
                  <w:marTop w:val="0"/>
                  <w:marBottom w:val="0"/>
                  <w:divBdr>
                    <w:top w:val="none" w:sz="0" w:space="0" w:color="auto"/>
                    <w:left w:val="none" w:sz="0" w:space="0" w:color="auto"/>
                    <w:bottom w:val="none" w:sz="0" w:space="0" w:color="auto"/>
                    <w:right w:val="none" w:sz="0" w:space="0" w:color="auto"/>
                  </w:divBdr>
                  <w:divsChild>
                    <w:div w:id="2059890408">
                      <w:marLeft w:val="0"/>
                      <w:marRight w:val="0"/>
                      <w:marTop w:val="0"/>
                      <w:marBottom w:val="0"/>
                      <w:divBdr>
                        <w:top w:val="none" w:sz="0" w:space="0" w:color="auto"/>
                        <w:left w:val="none" w:sz="0" w:space="0" w:color="auto"/>
                        <w:bottom w:val="none" w:sz="0" w:space="0" w:color="auto"/>
                        <w:right w:val="none" w:sz="0" w:space="0" w:color="auto"/>
                      </w:divBdr>
                      <w:divsChild>
                        <w:div w:id="1165973944">
                          <w:marLeft w:val="0"/>
                          <w:marRight w:val="0"/>
                          <w:marTop w:val="0"/>
                          <w:marBottom w:val="0"/>
                          <w:divBdr>
                            <w:top w:val="none" w:sz="0" w:space="0" w:color="auto"/>
                            <w:left w:val="none" w:sz="0" w:space="0" w:color="auto"/>
                            <w:bottom w:val="none" w:sz="0" w:space="0" w:color="auto"/>
                            <w:right w:val="none" w:sz="0" w:space="0" w:color="auto"/>
                          </w:divBdr>
                          <w:divsChild>
                            <w:div w:id="685519170">
                              <w:marLeft w:val="0"/>
                              <w:marRight w:val="0"/>
                              <w:marTop w:val="0"/>
                              <w:marBottom w:val="0"/>
                              <w:divBdr>
                                <w:top w:val="none" w:sz="0" w:space="0" w:color="auto"/>
                                <w:left w:val="none" w:sz="0" w:space="0" w:color="auto"/>
                                <w:bottom w:val="none" w:sz="0" w:space="0" w:color="auto"/>
                                <w:right w:val="none" w:sz="0" w:space="0" w:color="auto"/>
                              </w:divBdr>
                              <w:divsChild>
                                <w:div w:id="1468473617">
                                  <w:marLeft w:val="0"/>
                                  <w:marRight w:val="0"/>
                                  <w:marTop w:val="0"/>
                                  <w:marBottom w:val="0"/>
                                  <w:divBdr>
                                    <w:top w:val="none" w:sz="0" w:space="0" w:color="auto"/>
                                    <w:left w:val="none" w:sz="0" w:space="0" w:color="auto"/>
                                    <w:bottom w:val="none" w:sz="0" w:space="0" w:color="auto"/>
                                    <w:right w:val="none" w:sz="0" w:space="0" w:color="auto"/>
                                  </w:divBdr>
                                  <w:divsChild>
                                    <w:div w:id="47653576">
                                      <w:marLeft w:val="0"/>
                                      <w:marRight w:val="0"/>
                                      <w:marTop w:val="0"/>
                                      <w:marBottom w:val="0"/>
                                      <w:divBdr>
                                        <w:top w:val="none" w:sz="0" w:space="0" w:color="auto"/>
                                        <w:left w:val="none" w:sz="0" w:space="0" w:color="auto"/>
                                        <w:bottom w:val="none" w:sz="0" w:space="0" w:color="auto"/>
                                        <w:right w:val="none" w:sz="0" w:space="0" w:color="auto"/>
                                      </w:divBdr>
                                      <w:divsChild>
                                        <w:div w:id="5600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552839">
      <w:bodyDiv w:val="1"/>
      <w:marLeft w:val="0"/>
      <w:marRight w:val="0"/>
      <w:marTop w:val="0"/>
      <w:marBottom w:val="0"/>
      <w:divBdr>
        <w:top w:val="none" w:sz="0" w:space="0" w:color="auto"/>
        <w:left w:val="none" w:sz="0" w:space="0" w:color="auto"/>
        <w:bottom w:val="none" w:sz="0" w:space="0" w:color="auto"/>
        <w:right w:val="none" w:sz="0" w:space="0" w:color="auto"/>
      </w:divBdr>
      <w:divsChild>
        <w:div w:id="2016959970">
          <w:marLeft w:val="0"/>
          <w:marRight w:val="0"/>
          <w:marTop w:val="0"/>
          <w:marBottom w:val="0"/>
          <w:divBdr>
            <w:top w:val="none" w:sz="0" w:space="0" w:color="auto"/>
            <w:left w:val="none" w:sz="0" w:space="0" w:color="auto"/>
            <w:bottom w:val="none" w:sz="0" w:space="0" w:color="auto"/>
            <w:right w:val="none" w:sz="0" w:space="0" w:color="auto"/>
          </w:divBdr>
          <w:divsChild>
            <w:div w:id="353502301">
              <w:marLeft w:val="0"/>
              <w:marRight w:val="0"/>
              <w:marTop w:val="0"/>
              <w:marBottom w:val="0"/>
              <w:divBdr>
                <w:top w:val="none" w:sz="0" w:space="0" w:color="auto"/>
                <w:left w:val="none" w:sz="0" w:space="0" w:color="auto"/>
                <w:bottom w:val="none" w:sz="0" w:space="0" w:color="auto"/>
                <w:right w:val="none" w:sz="0" w:space="0" w:color="auto"/>
              </w:divBdr>
              <w:divsChild>
                <w:div w:id="1802110009">
                  <w:marLeft w:val="0"/>
                  <w:marRight w:val="0"/>
                  <w:marTop w:val="0"/>
                  <w:marBottom w:val="0"/>
                  <w:divBdr>
                    <w:top w:val="none" w:sz="0" w:space="0" w:color="auto"/>
                    <w:left w:val="none" w:sz="0" w:space="0" w:color="auto"/>
                    <w:bottom w:val="none" w:sz="0" w:space="0" w:color="auto"/>
                    <w:right w:val="none" w:sz="0" w:space="0" w:color="auto"/>
                  </w:divBdr>
                  <w:divsChild>
                    <w:div w:id="1142849267">
                      <w:marLeft w:val="0"/>
                      <w:marRight w:val="0"/>
                      <w:marTop w:val="0"/>
                      <w:marBottom w:val="0"/>
                      <w:divBdr>
                        <w:top w:val="none" w:sz="0" w:space="0" w:color="auto"/>
                        <w:left w:val="none" w:sz="0" w:space="0" w:color="auto"/>
                        <w:bottom w:val="none" w:sz="0" w:space="0" w:color="auto"/>
                        <w:right w:val="none" w:sz="0" w:space="0" w:color="auto"/>
                      </w:divBdr>
                      <w:divsChild>
                        <w:div w:id="1078939025">
                          <w:marLeft w:val="0"/>
                          <w:marRight w:val="0"/>
                          <w:marTop w:val="0"/>
                          <w:marBottom w:val="0"/>
                          <w:divBdr>
                            <w:top w:val="none" w:sz="0" w:space="0" w:color="auto"/>
                            <w:left w:val="none" w:sz="0" w:space="0" w:color="auto"/>
                            <w:bottom w:val="none" w:sz="0" w:space="0" w:color="auto"/>
                            <w:right w:val="none" w:sz="0" w:space="0" w:color="auto"/>
                          </w:divBdr>
                          <w:divsChild>
                            <w:div w:id="326832484">
                              <w:marLeft w:val="0"/>
                              <w:marRight w:val="0"/>
                              <w:marTop w:val="0"/>
                              <w:marBottom w:val="0"/>
                              <w:divBdr>
                                <w:top w:val="none" w:sz="0" w:space="0" w:color="auto"/>
                                <w:left w:val="none" w:sz="0" w:space="0" w:color="auto"/>
                                <w:bottom w:val="none" w:sz="0" w:space="0" w:color="auto"/>
                                <w:right w:val="none" w:sz="0" w:space="0" w:color="auto"/>
                              </w:divBdr>
                              <w:divsChild>
                                <w:div w:id="874151839">
                                  <w:marLeft w:val="0"/>
                                  <w:marRight w:val="0"/>
                                  <w:marTop w:val="0"/>
                                  <w:marBottom w:val="0"/>
                                  <w:divBdr>
                                    <w:top w:val="none" w:sz="0" w:space="0" w:color="auto"/>
                                    <w:left w:val="none" w:sz="0" w:space="0" w:color="auto"/>
                                    <w:bottom w:val="none" w:sz="0" w:space="0" w:color="auto"/>
                                    <w:right w:val="none" w:sz="0" w:space="0" w:color="auto"/>
                                  </w:divBdr>
                                  <w:divsChild>
                                    <w:div w:id="53939876">
                                      <w:marLeft w:val="0"/>
                                      <w:marRight w:val="0"/>
                                      <w:marTop w:val="0"/>
                                      <w:marBottom w:val="0"/>
                                      <w:divBdr>
                                        <w:top w:val="none" w:sz="0" w:space="0" w:color="auto"/>
                                        <w:left w:val="none" w:sz="0" w:space="0" w:color="auto"/>
                                        <w:bottom w:val="none" w:sz="0" w:space="0" w:color="auto"/>
                                        <w:right w:val="none" w:sz="0" w:space="0" w:color="auto"/>
                                      </w:divBdr>
                                      <w:divsChild>
                                        <w:div w:id="779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504786">
      <w:bodyDiv w:val="1"/>
      <w:marLeft w:val="0"/>
      <w:marRight w:val="0"/>
      <w:marTop w:val="0"/>
      <w:marBottom w:val="0"/>
      <w:divBdr>
        <w:top w:val="none" w:sz="0" w:space="0" w:color="auto"/>
        <w:left w:val="none" w:sz="0" w:space="0" w:color="auto"/>
        <w:bottom w:val="none" w:sz="0" w:space="0" w:color="auto"/>
        <w:right w:val="none" w:sz="0" w:space="0" w:color="auto"/>
      </w:divBdr>
      <w:divsChild>
        <w:div w:id="1991208689">
          <w:marLeft w:val="0"/>
          <w:marRight w:val="0"/>
          <w:marTop w:val="0"/>
          <w:marBottom w:val="0"/>
          <w:divBdr>
            <w:top w:val="none" w:sz="0" w:space="0" w:color="auto"/>
            <w:left w:val="none" w:sz="0" w:space="0" w:color="auto"/>
            <w:bottom w:val="none" w:sz="0" w:space="0" w:color="auto"/>
            <w:right w:val="none" w:sz="0" w:space="0" w:color="auto"/>
          </w:divBdr>
          <w:divsChild>
            <w:div w:id="1702169233">
              <w:marLeft w:val="0"/>
              <w:marRight w:val="0"/>
              <w:marTop w:val="0"/>
              <w:marBottom w:val="0"/>
              <w:divBdr>
                <w:top w:val="none" w:sz="0" w:space="0" w:color="auto"/>
                <w:left w:val="none" w:sz="0" w:space="0" w:color="auto"/>
                <w:bottom w:val="none" w:sz="0" w:space="0" w:color="auto"/>
                <w:right w:val="none" w:sz="0" w:space="0" w:color="auto"/>
              </w:divBdr>
              <w:divsChild>
                <w:div w:id="1577863529">
                  <w:marLeft w:val="0"/>
                  <w:marRight w:val="0"/>
                  <w:marTop w:val="0"/>
                  <w:marBottom w:val="0"/>
                  <w:divBdr>
                    <w:top w:val="none" w:sz="0" w:space="0" w:color="auto"/>
                    <w:left w:val="none" w:sz="0" w:space="0" w:color="auto"/>
                    <w:bottom w:val="none" w:sz="0" w:space="0" w:color="auto"/>
                    <w:right w:val="none" w:sz="0" w:space="0" w:color="auto"/>
                  </w:divBdr>
                  <w:divsChild>
                    <w:div w:id="1220626132">
                      <w:marLeft w:val="0"/>
                      <w:marRight w:val="0"/>
                      <w:marTop w:val="0"/>
                      <w:marBottom w:val="0"/>
                      <w:divBdr>
                        <w:top w:val="none" w:sz="0" w:space="0" w:color="auto"/>
                        <w:left w:val="none" w:sz="0" w:space="0" w:color="auto"/>
                        <w:bottom w:val="none" w:sz="0" w:space="0" w:color="auto"/>
                        <w:right w:val="none" w:sz="0" w:space="0" w:color="auto"/>
                      </w:divBdr>
                      <w:divsChild>
                        <w:div w:id="594245759">
                          <w:marLeft w:val="0"/>
                          <w:marRight w:val="0"/>
                          <w:marTop w:val="0"/>
                          <w:marBottom w:val="0"/>
                          <w:divBdr>
                            <w:top w:val="none" w:sz="0" w:space="0" w:color="auto"/>
                            <w:left w:val="none" w:sz="0" w:space="0" w:color="auto"/>
                            <w:bottom w:val="none" w:sz="0" w:space="0" w:color="auto"/>
                            <w:right w:val="none" w:sz="0" w:space="0" w:color="auto"/>
                          </w:divBdr>
                          <w:divsChild>
                            <w:div w:id="673266850">
                              <w:marLeft w:val="0"/>
                              <w:marRight w:val="0"/>
                              <w:marTop w:val="0"/>
                              <w:marBottom w:val="0"/>
                              <w:divBdr>
                                <w:top w:val="none" w:sz="0" w:space="0" w:color="auto"/>
                                <w:left w:val="none" w:sz="0" w:space="0" w:color="auto"/>
                                <w:bottom w:val="none" w:sz="0" w:space="0" w:color="auto"/>
                                <w:right w:val="none" w:sz="0" w:space="0" w:color="auto"/>
                              </w:divBdr>
                              <w:divsChild>
                                <w:div w:id="1798916099">
                                  <w:marLeft w:val="0"/>
                                  <w:marRight w:val="0"/>
                                  <w:marTop w:val="0"/>
                                  <w:marBottom w:val="0"/>
                                  <w:divBdr>
                                    <w:top w:val="none" w:sz="0" w:space="0" w:color="auto"/>
                                    <w:left w:val="none" w:sz="0" w:space="0" w:color="auto"/>
                                    <w:bottom w:val="none" w:sz="0" w:space="0" w:color="auto"/>
                                    <w:right w:val="none" w:sz="0" w:space="0" w:color="auto"/>
                                  </w:divBdr>
                                  <w:divsChild>
                                    <w:div w:id="439834376">
                                      <w:marLeft w:val="0"/>
                                      <w:marRight w:val="0"/>
                                      <w:marTop w:val="0"/>
                                      <w:marBottom w:val="0"/>
                                      <w:divBdr>
                                        <w:top w:val="single" w:sz="4" w:space="0" w:color="F5F5F5"/>
                                        <w:left w:val="single" w:sz="4" w:space="0" w:color="F5F5F5"/>
                                        <w:bottom w:val="single" w:sz="4" w:space="0" w:color="F5F5F5"/>
                                        <w:right w:val="single" w:sz="4" w:space="0" w:color="F5F5F5"/>
                                      </w:divBdr>
                                      <w:divsChild>
                                        <w:div w:id="1203588712">
                                          <w:marLeft w:val="0"/>
                                          <w:marRight w:val="0"/>
                                          <w:marTop w:val="0"/>
                                          <w:marBottom w:val="0"/>
                                          <w:divBdr>
                                            <w:top w:val="none" w:sz="0" w:space="0" w:color="auto"/>
                                            <w:left w:val="none" w:sz="0" w:space="0" w:color="auto"/>
                                            <w:bottom w:val="none" w:sz="0" w:space="0" w:color="auto"/>
                                            <w:right w:val="none" w:sz="0" w:space="0" w:color="auto"/>
                                          </w:divBdr>
                                          <w:divsChild>
                                            <w:div w:id="11558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227143">
      <w:bodyDiv w:val="1"/>
      <w:marLeft w:val="0"/>
      <w:marRight w:val="0"/>
      <w:marTop w:val="0"/>
      <w:marBottom w:val="0"/>
      <w:divBdr>
        <w:top w:val="none" w:sz="0" w:space="0" w:color="auto"/>
        <w:left w:val="none" w:sz="0" w:space="0" w:color="auto"/>
        <w:bottom w:val="none" w:sz="0" w:space="0" w:color="auto"/>
        <w:right w:val="none" w:sz="0" w:space="0" w:color="auto"/>
      </w:divBdr>
      <w:divsChild>
        <w:div w:id="1036655997">
          <w:marLeft w:val="0"/>
          <w:marRight w:val="0"/>
          <w:marTop w:val="0"/>
          <w:marBottom w:val="0"/>
          <w:divBdr>
            <w:top w:val="none" w:sz="0" w:space="0" w:color="auto"/>
            <w:left w:val="none" w:sz="0" w:space="0" w:color="auto"/>
            <w:bottom w:val="none" w:sz="0" w:space="0" w:color="auto"/>
            <w:right w:val="none" w:sz="0" w:space="0" w:color="auto"/>
          </w:divBdr>
          <w:divsChild>
            <w:div w:id="1174496758">
              <w:marLeft w:val="0"/>
              <w:marRight w:val="0"/>
              <w:marTop w:val="0"/>
              <w:marBottom w:val="0"/>
              <w:divBdr>
                <w:top w:val="none" w:sz="0" w:space="0" w:color="auto"/>
                <w:left w:val="none" w:sz="0" w:space="0" w:color="auto"/>
                <w:bottom w:val="none" w:sz="0" w:space="0" w:color="auto"/>
                <w:right w:val="none" w:sz="0" w:space="0" w:color="auto"/>
              </w:divBdr>
              <w:divsChild>
                <w:div w:id="891816092">
                  <w:marLeft w:val="0"/>
                  <w:marRight w:val="0"/>
                  <w:marTop w:val="0"/>
                  <w:marBottom w:val="0"/>
                  <w:divBdr>
                    <w:top w:val="none" w:sz="0" w:space="0" w:color="auto"/>
                    <w:left w:val="none" w:sz="0" w:space="0" w:color="auto"/>
                    <w:bottom w:val="none" w:sz="0" w:space="0" w:color="auto"/>
                    <w:right w:val="none" w:sz="0" w:space="0" w:color="auto"/>
                  </w:divBdr>
                  <w:divsChild>
                    <w:div w:id="1541432121">
                      <w:marLeft w:val="0"/>
                      <w:marRight w:val="0"/>
                      <w:marTop w:val="0"/>
                      <w:marBottom w:val="0"/>
                      <w:divBdr>
                        <w:top w:val="none" w:sz="0" w:space="0" w:color="auto"/>
                        <w:left w:val="none" w:sz="0" w:space="0" w:color="auto"/>
                        <w:bottom w:val="none" w:sz="0" w:space="0" w:color="auto"/>
                        <w:right w:val="none" w:sz="0" w:space="0" w:color="auto"/>
                      </w:divBdr>
                      <w:divsChild>
                        <w:div w:id="1627588307">
                          <w:marLeft w:val="0"/>
                          <w:marRight w:val="0"/>
                          <w:marTop w:val="0"/>
                          <w:marBottom w:val="0"/>
                          <w:divBdr>
                            <w:top w:val="none" w:sz="0" w:space="0" w:color="auto"/>
                            <w:left w:val="none" w:sz="0" w:space="0" w:color="auto"/>
                            <w:bottom w:val="none" w:sz="0" w:space="0" w:color="auto"/>
                            <w:right w:val="none" w:sz="0" w:space="0" w:color="auto"/>
                          </w:divBdr>
                          <w:divsChild>
                            <w:div w:id="1029180336">
                              <w:marLeft w:val="0"/>
                              <w:marRight w:val="0"/>
                              <w:marTop w:val="0"/>
                              <w:marBottom w:val="0"/>
                              <w:divBdr>
                                <w:top w:val="none" w:sz="0" w:space="0" w:color="auto"/>
                                <w:left w:val="none" w:sz="0" w:space="0" w:color="auto"/>
                                <w:bottom w:val="none" w:sz="0" w:space="0" w:color="auto"/>
                                <w:right w:val="none" w:sz="0" w:space="0" w:color="auto"/>
                              </w:divBdr>
                              <w:divsChild>
                                <w:div w:id="156848212">
                                  <w:marLeft w:val="0"/>
                                  <w:marRight w:val="0"/>
                                  <w:marTop w:val="0"/>
                                  <w:marBottom w:val="0"/>
                                  <w:divBdr>
                                    <w:top w:val="none" w:sz="0" w:space="0" w:color="auto"/>
                                    <w:left w:val="none" w:sz="0" w:space="0" w:color="auto"/>
                                    <w:bottom w:val="none" w:sz="0" w:space="0" w:color="auto"/>
                                    <w:right w:val="none" w:sz="0" w:space="0" w:color="auto"/>
                                  </w:divBdr>
                                  <w:divsChild>
                                    <w:div w:id="1150554524">
                                      <w:marLeft w:val="0"/>
                                      <w:marRight w:val="0"/>
                                      <w:marTop w:val="0"/>
                                      <w:marBottom w:val="0"/>
                                      <w:divBdr>
                                        <w:top w:val="single" w:sz="4" w:space="0" w:color="F5F5F5"/>
                                        <w:left w:val="single" w:sz="4" w:space="0" w:color="F5F5F5"/>
                                        <w:bottom w:val="single" w:sz="4" w:space="0" w:color="F5F5F5"/>
                                        <w:right w:val="single" w:sz="4" w:space="0" w:color="F5F5F5"/>
                                      </w:divBdr>
                                      <w:divsChild>
                                        <w:div w:id="1793328884">
                                          <w:marLeft w:val="0"/>
                                          <w:marRight w:val="0"/>
                                          <w:marTop w:val="0"/>
                                          <w:marBottom w:val="0"/>
                                          <w:divBdr>
                                            <w:top w:val="none" w:sz="0" w:space="0" w:color="auto"/>
                                            <w:left w:val="none" w:sz="0" w:space="0" w:color="auto"/>
                                            <w:bottom w:val="none" w:sz="0" w:space="0" w:color="auto"/>
                                            <w:right w:val="none" w:sz="0" w:space="0" w:color="auto"/>
                                          </w:divBdr>
                                          <w:divsChild>
                                            <w:div w:id="12930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081953">
      <w:bodyDiv w:val="1"/>
      <w:marLeft w:val="0"/>
      <w:marRight w:val="0"/>
      <w:marTop w:val="0"/>
      <w:marBottom w:val="0"/>
      <w:divBdr>
        <w:top w:val="none" w:sz="0" w:space="0" w:color="auto"/>
        <w:left w:val="none" w:sz="0" w:space="0" w:color="auto"/>
        <w:bottom w:val="none" w:sz="0" w:space="0" w:color="auto"/>
        <w:right w:val="none" w:sz="0" w:space="0" w:color="auto"/>
      </w:divBdr>
      <w:divsChild>
        <w:div w:id="515651533">
          <w:marLeft w:val="0"/>
          <w:marRight w:val="0"/>
          <w:marTop w:val="0"/>
          <w:marBottom w:val="0"/>
          <w:divBdr>
            <w:top w:val="none" w:sz="0" w:space="0" w:color="auto"/>
            <w:left w:val="none" w:sz="0" w:space="0" w:color="auto"/>
            <w:bottom w:val="none" w:sz="0" w:space="0" w:color="auto"/>
            <w:right w:val="none" w:sz="0" w:space="0" w:color="auto"/>
          </w:divBdr>
          <w:divsChild>
            <w:div w:id="64761476">
              <w:marLeft w:val="0"/>
              <w:marRight w:val="0"/>
              <w:marTop w:val="0"/>
              <w:marBottom w:val="0"/>
              <w:divBdr>
                <w:top w:val="none" w:sz="0" w:space="0" w:color="auto"/>
                <w:left w:val="none" w:sz="0" w:space="0" w:color="auto"/>
                <w:bottom w:val="none" w:sz="0" w:space="0" w:color="auto"/>
                <w:right w:val="none" w:sz="0" w:space="0" w:color="auto"/>
              </w:divBdr>
              <w:divsChild>
                <w:div w:id="1209024263">
                  <w:marLeft w:val="0"/>
                  <w:marRight w:val="0"/>
                  <w:marTop w:val="0"/>
                  <w:marBottom w:val="0"/>
                  <w:divBdr>
                    <w:top w:val="none" w:sz="0" w:space="0" w:color="auto"/>
                    <w:left w:val="none" w:sz="0" w:space="0" w:color="auto"/>
                    <w:bottom w:val="none" w:sz="0" w:space="0" w:color="auto"/>
                    <w:right w:val="none" w:sz="0" w:space="0" w:color="auto"/>
                  </w:divBdr>
                  <w:divsChild>
                    <w:div w:id="1271426147">
                      <w:marLeft w:val="0"/>
                      <w:marRight w:val="0"/>
                      <w:marTop w:val="0"/>
                      <w:marBottom w:val="0"/>
                      <w:divBdr>
                        <w:top w:val="none" w:sz="0" w:space="0" w:color="auto"/>
                        <w:left w:val="none" w:sz="0" w:space="0" w:color="auto"/>
                        <w:bottom w:val="none" w:sz="0" w:space="0" w:color="auto"/>
                        <w:right w:val="none" w:sz="0" w:space="0" w:color="auto"/>
                      </w:divBdr>
                      <w:divsChild>
                        <w:div w:id="1802377740">
                          <w:marLeft w:val="0"/>
                          <w:marRight w:val="0"/>
                          <w:marTop w:val="0"/>
                          <w:marBottom w:val="0"/>
                          <w:divBdr>
                            <w:top w:val="none" w:sz="0" w:space="0" w:color="auto"/>
                            <w:left w:val="none" w:sz="0" w:space="0" w:color="auto"/>
                            <w:bottom w:val="none" w:sz="0" w:space="0" w:color="auto"/>
                            <w:right w:val="none" w:sz="0" w:space="0" w:color="auto"/>
                          </w:divBdr>
                          <w:divsChild>
                            <w:div w:id="258410005">
                              <w:marLeft w:val="0"/>
                              <w:marRight w:val="0"/>
                              <w:marTop w:val="0"/>
                              <w:marBottom w:val="0"/>
                              <w:divBdr>
                                <w:top w:val="none" w:sz="0" w:space="0" w:color="auto"/>
                                <w:left w:val="none" w:sz="0" w:space="0" w:color="auto"/>
                                <w:bottom w:val="none" w:sz="0" w:space="0" w:color="auto"/>
                                <w:right w:val="none" w:sz="0" w:space="0" w:color="auto"/>
                              </w:divBdr>
                              <w:divsChild>
                                <w:div w:id="1391028508">
                                  <w:marLeft w:val="0"/>
                                  <w:marRight w:val="0"/>
                                  <w:marTop w:val="0"/>
                                  <w:marBottom w:val="0"/>
                                  <w:divBdr>
                                    <w:top w:val="none" w:sz="0" w:space="0" w:color="auto"/>
                                    <w:left w:val="none" w:sz="0" w:space="0" w:color="auto"/>
                                    <w:bottom w:val="none" w:sz="0" w:space="0" w:color="auto"/>
                                    <w:right w:val="none" w:sz="0" w:space="0" w:color="auto"/>
                                  </w:divBdr>
                                  <w:divsChild>
                                    <w:div w:id="798693553">
                                      <w:marLeft w:val="0"/>
                                      <w:marRight w:val="0"/>
                                      <w:marTop w:val="0"/>
                                      <w:marBottom w:val="0"/>
                                      <w:divBdr>
                                        <w:top w:val="none" w:sz="0" w:space="0" w:color="auto"/>
                                        <w:left w:val="none" w:sz="0" w:space="0" w:color="auto"/>
                                        <w:bottom w:val="none" w:sz="0" w:space="0" w:color="auto"/>
                                        <w:right w:val="none" w:sz="0" w:space="0" w:color="auto"/>
                                      </w:divBdr>
                                      <w:divsChild>
                                        <w:div w:id="1153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605084">
      <w:bodyDiv w:val="1"/>
      <w:marLeft w:val="0"/>
      <w:marRight w:val="0"/>
      <w:marTop w:val="0"/>
      <w:marBottom w:val="0"/>
      <w:divBdr>
        <w:top w:val="none" w:sz="0" w:space="0" w:color="auto"/>
        <w:left w:val="none" w:sz="0" w:space="0" w:color="auto"/>
        <w:bottom w:val="none" w:sz="0" w:space="0" w:color="auto"/>
        <w:right w:val="none" w:sz="0" w:space="0" w:color="auto"/>
      </w:divBdr>
      <w:divsChild>
        <w:div w:id="118764353">
          <w:marLeft w:val="0"/>
          <w:marRight w:val="0"/>
          <w:marTop w:val="0"/>
          <w:marBottom w:val="0"/>
          <w:divBdr>
            <w:top w:val="none" w:sz="0" w:space="0" w:color="auto"/>
            <w:left w:val="none" w:sz="0" w:space="0" w:color="auto"/>
            <w:bottom w:val="none" w:sz="0" w:space="0" w:color="auto"/>
            <w:right w:val="none" w:sz="0" w:space="0" w:color="auto"/>
          </w:divBdr>
          <w:divsChild>
            <w:div w:id="1573008725">
              <w:marLeft w:val="0"/>
              <w:marRight w:val="0"/>
              <w:marTop w:val="0"/>
              <w:marBottom w:val="0"/>
              <w:divBdr>
                <w:top w:val="none" w:sz="0" w:space="0" w:color="auto"/>
                <w:left w:val="none" w:sz="0" w:space="0" w:color="auto"/>
                <w:bottom w:val="none" w:sz="0" w:space="0" w:color="auto"/>
                <w:right w:val="none" w:sz="0" w:space="0" w:color="auto"/>
              </w:divBdr>
              <w:divsChild>
                <w:div w:id="1299263290">
                  <w:marLeft w:val="0"/>
                  <w:marRight w:val="0"/>
                  <w:marTop w:val="0"/>
                  <w:marBottom w:val="0"/>
                  <w:divBdr>
                    <w:top w:val="none" w:sz="0" w:space="0" w:color="auto"/>
                    <w:left w:val="none" w:sz="0" w:space="0" w:color="auto"/>
                    <w:bottom w:val="none" w:sz="0" w:space="0" w:color="auto"/>
                    <w:right w:val="none" w:sz="0" w:space="0" w:color="auto"/>
                  </w:divBdr>
                  <w:divsChild>
                    <w:div w:id="161087570">
                      <w:marLeft w:val="0"/>
                      <w:marRight w:val="0"/>
                      <w:marTop w:val="0"/>
                      <w:marBottom w:val="0"/>
                      <w:divBdr>
                        <w:top w:val="none" w:sz="0" w:space="0" w:color="auto"/>
                        <w:left w:val="none" w:sz="0" w:space="0" w:color="auto"/>
                        <w:bottom w:val="none" w:sz="0" w:space="0" w:color="auto"/>
                        <w:right w:val="none" w:sz="0" w:space="0" w:color="auto"/>
                      </w:divBdr>
                      <w:divsChild>
                        <w:div w:id="496650228">
                          <w:marLeft w:val="0"/>
                          <w:marRight w:val="0"/>
                          <w:marTop w:val="0"/>
                          <w:marBottom w:val="0"/>
                          <w:divBdr>
                            <w:top w:val="none" w:sz="0" w:space="0" w:color="auto"/>
                            <w:left w:val="none" w:sz="0" w:space="0" w:color="auto"/>
                            <w:bottom w:val="none" w:sz="0" w:space="0" w:color="auto"/>
                            <w:right w:val="none" w:sz="0" w:space="0" w:color="auto"/>
                          </w:divBdr>
                          <w:divsChild>
                            <w:div w:id="207376183">
                              <w:marLeft w:val="0"/>
                              <w:marRight w:val="0"/>
                              <w:marTop w:val="0"/>
                              <w:marBottom w:val="0"/>
                              <w:divBdr>
                                <w:top w:val="none" w:sz="0" w:space="0" w:color="auto"/>
                                <w:left w:val="none" w:sz="0" w:space="0" w:color="auto"/>
                                <w:bottom w:val="none" w:sz="0" w:space="0" w:color="auto"/>
                                <w:right w:val="none" w:sz="0" w:space="0" w:color="auto"/>
                              </w:divBdr>
                              <w:divsChild>
                                <w:div w:id="153691372">
                                  <w:marLeft w:val="0"/>
                                  <w:marRight w:val="0"/>
                                  <w:marTop w:val="0"/>
                                  <w:marBottom w:val="0"/>
                                  <w:divBdr>
                                    <w:top w:val="none" w:sz="0" w:space="0" w:color="auto"/>
                                    <w:left w:val="none" w:sz="0" w:space="0" w:color="auto"/>
                                    <w:bottom w:val="none" w:sz="0" w:space="0" w:color="auto"/>
                                    <w:right w:val="none" w:sz="0" w:space="0" w:color="auto"/>
                                  </w:divBdr>
                                  <w:divsChild>
                                    <w:div w:id="1658412255">
                                      <w:marLeft w:val="0"/>
                                      <w:marRight w:val="0"/>
                                      <w:marTop w:val="0"/>
                                      <w:marBottom w:val="0"/>
                                      <w:divBdr>
                                        <w:top w:val="none" w:sz="0" w:space="0" w:color="auto"/>
                                        <w:left w:val="none" w:sz="0" w:space="0" w:color="auto"/>
                                        <w:bottom w:val="none" w:sz="0" w:space="0" w:color="auto"/>
                                        <w:right w:val="none" w:sz="0" w:space="0" w:color="auto"/>
                                      </w:divBdr>
                                      <w:divsChild>
                                        <w:div w:id="11054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424392">
      <w:bodyDiv w:val="1"/>
      <w:marLeft w:val="0"/>
      <w:marRight w:val="0"/>
      <w:marTop w:val="0"/>
      <w:marBottom w:val="0"/>
      <w:divBdr>
        <w:top w:val="none" w:sz="0" w:space="0" w:color="auto"/>
        <w:left w:val="none" w:sz="0" w:space="0" w:color="auto"/>
        <w:bottom w:val="none" w:sz="0" w:space="0" w:color="auto"/>
        <w:right w:val="none" w:sz="0" w:space="0" w:color="auto"/>
      </w:divBdr>
      <w:divsChild>
        <w:div w:id="515968921">
          <w:marLeft w:val="0"/>
          <w:marRight w:val="0"/>
          <w:marTop w:val="0"/>
          <w:marBottom w:val="0"/>
          <w:divBdr>
            <w:top w:val="none" w:sz="0" w:space="0" w:color="auto"/>
            <w:left w:val="none" w:sz="0" w:space="0" w:color="auto"/>
            <w:bottom w:val="none" w:sz="0" w:space="0" w:color="auto"/>
            <w:right w:val="none" w:sz="0" w:space="0" w:color="auto"/>
          </w:divBdr>
          <w:divsChild>
            <w:div w:id="2101871126">
              <w:marLeft w:val="0"/>
              <w:marRight w:val="0"/>
              <w:marTop w:val="0"/>
              <w:marBottom w:val="0"/>
              <w:divBdr>
                <w:top w:val="none" w:sz="0" w:space="0" w:color="auto"/>
                <w:left w:val="none" w:sz="0" w:space="0" w:color="auto"/>
                <w:bottom w:val="none" w:sz="0" w:space="0" w:color="auto"/>
                <w:right w:val="none" w:sz="0" w:space="0" w:color="auto"/>
              </w:divBdr>
              <w:divsChild>
                <w:div w:id="1910455894">
                  <w:marLeft w:val="0"/>
                  <w:marRight w:val="0"/>
                  <w:marTop w:val="0"/>
                  <w:marBottom w:val="0"/>
                  <w:divBdr>
                    <w:top w:val="none" w:sz="0" w:space="0" w:color="auto"/>
                    <w:left w:val="none" w:sz="0" w:space="0" w:color="auto"/>
                    <w:bottom w:val="none" w:sz="0" w:space="0" w:color="auto"/>
                    <w:right w:val="none" w:sz="0" w:space="0" w:color="auto"/>
                  </w:divBdr>
                  <w:divsChild>
                    <w:div w:id="181164428">
                      <w:marLeft w:val="0"/>
                      <w:marRight w:val="0"/>
                      <w:marTop w:val="0"/>
                      <w:marBottom w:val="0"/>
                      <w:divBdr>
                        <w:top w:val="none" w:sz="0" w:space="0" w:color="auto"/>
                        <w:left w:val="none" w:sz="0" w:space="0" w:color="auto"/>
                        <w:bottom w:val="none" w:sz="0" w:space="0" w:color="auto"/>
                        <w:right w:val="none" w:sz="0" w:space="0" w:color="auto"/>
                      </w:divBdr>
                      <w:divsChild>
                        <w:div w:id="890650498">
                          <w:marLeft w:val="0"/>
                          <w:marRight w:val="0"/>
                          <w:marTop w:val="0"/>
                          <w:marBottom w:val="0"/>
                          <w:divBdr>
                            <w:top w:val="none" w:sz="0" w:space="0" w:color="auto"/>
                            <w:left w:val="none" w:sz="0" w:space="0" w:color="auto"/>
                            <w:bottom w:val="none" w:sz="0" w:space="0" w:color="auto"/>
                            <w:right w:val="none" w:sz="0" w:space="0" w:color="auto"/>
                          </w:divBdr>
                          <w:divsChild>
                            <w:div w:id="1747681267">
                              <w:marLeft w:val="0"/>
                              <w:marRight w:val="0"/>
                              <w:marTop w:val="0"/>
                              <w:marBottom w:val="0"/>
                              <w:divBdr>
                                <w:top w:val="none" w:sz="0" w:space="0" w:color="auto"/>
                                <w:left w:val="none" w:sz="0" w:space="0" w:color="auto"/>
                                <w:bottom w:val="none" w:sz="0" w:space="0" w:color="auto"/>
                                <w:right w:val="none" w:sz="0" w:space="0" w:color="auto"/>
                              </w:divBdr>
                              <w:divsChild>
                                <w:div w:id="971982705">
                                  <w:marLeft w:val="0"/>
                                  <w:marRight w:val="0"/>
                                  <w:marTop w:val="0"/>
                                  <w:marBottom w:val="0"/>
                                  <w:divBdr>
                                    <w:top w:val="none" w:sz="0" w:space="0" w:color="auto"/>
                                    <w:left w:val="none" w:sz="0" w:space="0" w:color="auto"/>
                                    <w:bottom w:val="none" w:sz="0" w:space="0" w:color="auto"/>
                                    <w:right w:val="none" w:sz="0" w:space="0" w:color="auto"/>
                                  </w:divBdr>
                                  <w:divsChild>
                                    <w:div w:id="1966427893">
                                      <w:marLeft w:val="0"/>
                                      <w:marRight w:val="0"/>
                                      <w:marTop w:val="0"/>
                                      <w:marBottom w:val="0"/>
                                      <w:divBdr>
                                        <w:top w:val="none" w:sz="0" w:space="0" w:color="auto"/>
                                        <w:left w:val="none" w:sz="0" w:space="0" w:color="auto"/>
                                        <w:bottom w:val="none" w:sz="0" w:space="0" w:color="auto"/>
                                        <w:right w:val="none" w:sz="0" w:space="0" w:color="auto"/>
                                      </w:divBdr>
                                      <w:divsChild>
                                        <w:div w:id="6158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277519">
      <w:bodyDiv w:val="1"/>
      <w:marLeft w:val="0"/>
      <w:marRight w:val="0"/>
      <w:marTop w:val="0"/>
      <w:marBottom w:val="0"/>
      <w:divBdr>
        <w:top w:val="none" w:sz="0" w:space="0" w:color="auto"/>
        <w:left w:val="none" w:sz="0" w:space="0" w:color="auto"/>
        <w:bottom w:val="none" w:sz="0" w:space="0" w:color="auto"/>
        <w:right w:val="none" w:sz="0" w:space="0" w:color="auto"/>
      </w:divBdr>
      <w:divsChild>
        <w:div w:id="675889336">
          <w:marLeft w:val="0"/>
          <w:marRight w:val="0"/>
          <w:marTop w:val="0"/>
          <w:marBottom w:val="0"/>
          <w:divBdr>
            <w:top w:val="none" w:sz="0" w:space="0" w:color="auto"/>
            <w:left w:val="none" w:sz="0" w:space="0" w:color="auto"/>
            <w:bottom w:val="none" w:sz="0" w:space="0" w:color="auto"/>
            <w:right w:val="none" w:sz="0" w:space="0" w:color="auto"/>
          </w:divBdr>
          <w:divsChild>
            <w:div w:id="1798448812">
              <w:marLeft w:val="0"/>
              <w:marRight w:val="0"/>
              <w:marTop w:val="0"/>
              <w:marBottom w:val="0"/>
              <w:divBdr>
                <w:top w:val="none" w:sz="0" w:space="0" w:color="auto"/>
                <w:left w:val="none" w:sz="0" w:space="0" w:color="auto"/>
                <w:bottom w:val="none" w:sz="0" w:space="0" w:color="auto"/>
                <w:right w:val="none" w:sz="0" w:space="0" w:color="auto"/>
              </w:divBdr>
              <w:divsChild>
                <w:div w:id="1049456387">
                  <w:marLeft w:val="0"/>
                  <w:marRight w:val="0"/>
                  <w:marTop w:val="0"/>
                  <w:marBottom w:val="0"/>
                  <w:divBdr>
                    <w:top w:val="none" w:sz="0" w:space="0" w:color="auto"/>
                    <w:left w:val="none" w:sz="0" w:space="0" w:color="auto"/>
                    <w:bottom w:val="none" w:sz="0" w:space="0" w:color="auto"/>
                    <w:right w:val="none" w:sz="0" w:space="0" w:color="auto"/>
                  </w:divBdr>
                  <w:divsChild>
                    <w:div w:id="393160838">
                      <w:marLeft w:val="0"/>
                      <w:marRight w:val="0"/>
                      <w:marTop w:val="0"/>
                      <w:marBottom w:val="0"/>
                      <w:divBdr>
                        <w:top w:val="none" w:sz="0" w:space="0" w:color="auto"/>
                        <w:left w:val="none" w:sz="0" w:space="0" w:color="auto"/>
                        <w:bottom w:val="none" w:sz="0" w:space="0" w:color="auto"/>
                        <w:right w:val="none" w:sz="0" w:space="0" w:color="auto"/>
                      </w:divBdr>
                      <w:divsChild>
                        <w:div w:id="1119297405">
                          <w:marLeft w:val="0"/>
                          <w:marRight w:val="0"/>
                          <w:marTop w:val="0"/>
                          <w:marBottom w:val="0"/>
                          <w:divBdr>
                            <w:top w:val="none" w:sz="0" w:space="0" w:color="auto"/>
                            <w:left w:val="none" w:sz="0" w:space="0" w:color="auto"/>
                            <w:bottom w:val="none" w:sz="0" w:space="0" w:color="auto"/>
                            <w:right w:val="none" w:sz="0" w:space="0" w:color="auto"/>
                          </w:divBdr>
                          <w:divsChild>
                            <w:div w:id="1434741345">
                              <w:marLeft w:val="0"/>
                              <w:marRight w:val="0"/>
                              <w:marTop w:val="0"/>
                              <w:marBottom w:val="0"/>
                              <w:divBdr>
                                <w:top w:val="none" w:sz="0" w:space="0" w:color="auto"/>
                                <w:left w:val="none" w:sz="0" w:space="0" w:color="auto"/>
                                <w:bottom w:val="none" w:sz="0" w:space="0" w:color="auto"/>
                                <w:right w:val="none" w:sz="0" w:space="0" w:color="auto"/>
                              </w:divBdr>
                              <w:divsChild>
                                <w:div w:id="312417875">
                                  <w:marLeft w:val="0"/>
                                  <w:marRight w:val="0"/>
                                  <w:marTop w:val="0"/>
                                  <w:marBottom w:val="0"/>
                                  <w:divBdr>
                                    <w:top w:val="none" w:sz="0" w:space="0" w:color="auto"/>
                                    <w:left w:val="none" w:sz="0" w:space="0" w:color="auto"/>
                                    <w:bottom w:val="none" w:sz="0" w:space="0" w:color="auto"/>
                                    <w:right w:val="none" w:sz="0" w:space="0" w:color="auto"/>
                                  </w:divBdr>
                                  <w:divsChild>
                                    <w:div w:id="335230610">
                                      <w:marLeft w:val="0"/>
                                      <w:marRight w:val="0"/>
                                      <w:marTop w:val="0"/>
                                      <w:marBottom w:val="0"/>
                                      <w:divBdr>
                                        <w:top w:val="single" w:sz="4" w:space="0" w:color="F5F5F5"/>
                                        <w:left w:val="single" w:sz="4" w:space="0" w:color="F5F5F5"/>
                                        <w:bottom w:val="single" w:sz="4" w:space="0" w:color="F5F5F5"/>
                                        <w:right w:val="single" w:sz="4" w:space="0" w:color="F5F5F5"/>
                                      </w:divBdr>
                                      <w:divsChild>
                                        <w:div w:id="1967004147">
                                          <w:marLeft w:val="0"/>
                                          <w:marRight w:val="0"/>
                                          <w:marTop w:val="0"/>
                                          <w:marBottom w:val="0"/>
                                          <w:divBdr>
                                            <w:top w:val="none" w:sz="0" w:space="0" w:color="auto"/>
                                            <w:left w:val="none" w:sz="0" w:space="0" w:color="auto"/>
                                            <w:bottom w:val="none" w:sz="0" w:space="0" w:color="auto"/>
                                            <w:right w:val="none" w:sz="0" w:space="0" w:color="auto"/>
                                          </w:divBdr>
                                          <w:divsChild>
                                            <w:div w:id="4256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398569">
      <w:bodyDiv w:val="1"/>
      <w:marLeft w:val="0"/>
      <w:marRight w:val="0"/>
      <w:marTop w:val="0"/>
      <w:marBottom w:val="0"/>
      <w:divBdr>
        <w:top w:val="none" w:sz="0" w:space="0" w:color="auto"/>
        <w:left w:val="none" w:sz="0" w:space="0" w:color="auto"/>
        <w:bottom w:val="none" w:sz="0" w:space="0" w:color="auto"/>
        <w:right w:val="none" w:sz="0" w:space="0" w:color="auto"/>
      </w:divBdr>
      <w:divsChild>
        <w:div w:id="806975839">
          <w:marLeft w:val="0"/>
          <w:marRight w:val="0"/>
          <w:marTop w:val="0"/>
          <w:marBottom w:val="0"/>
          <w:divBdr>
            <w:top w:val="none" w:sz="0" w:space="0" w:color="auto"/>
            <w:left w:val="none" w:sz="0" w:space="0" w:color="auto"/>
            <w:bottom w:val="none" w:sz="0" w:space="0" w:color="auto"/>
            <w:right w:val="none" w:sz="0" w:space="0" w:color="auto"/>
          </w:divBdr>
          <w:divsChild>
            <w:div w:id="1676569205">
              <w:marLeft w:val="0"/>
              <w:marRight w:val="0"/>
              <w:marTop w:val="0"/>
              <w:marBottom w:val="0"/>
              <w:divBdr>
                <w:top w:val="none" w:sz="0" w:space="0" w:color="auto"/>
                <w:left w:val="none" w:sz="0" w:space="0" w:color="auto"/>
                <w:bottom w:val="none" w:sz="0" w:space="0" w:color="auto"/>
                <w:right w:val="none" w:sz="0" w:space="0" w:color="auto"/>
              </w:divBdr>
              <w:divsChild>
                <w:div w:id="745229413">
                  <w:marLeft w:val="0"/>
                  <w:marRight w:val="0"/>
                  <w:marTop w:val="0"/>
                  <w:marBottom w:val="0"/>
                  <w:divBdr>
                    <w:top w:val="none" w:sz="0" w:space="0" w:color="auto"/>
                    <w:left w:val="none" w:sz="0" w:space="0" w:color="auto"/>
                    <w:bottom w:val="none" w:sz="0" w:space="0" w:color="auto"/>
                    <w:right w:val="none" w:sz="0" w:space="0" w:color="auto"/>
                  </w:divBdr>
                  <w:divsChild>
                    <w:div w:id="244264931">
                      <w:marLeft w:val="0"/>
                      <w:marRight w:val="0"/>
                      <w:marTop w:val="0"/>
                      <w:marBottom w:val="0"/>
                      <w:divBdr>
                        <w:top w:val="none" w:sz="0" w:space="0" w:color="auto"/>
                        <w:left w:val="none" w:sz="0" w:space="0" w:color="auto"/>
                        <w:bottom w:val="none" w:sz="0" w:space="0" w:color="auto"/>
                        <w:right w:val="none" w:sz="0" w:space="0" w:color="auto"/>
                      </w:divBdr>
                      <w:divsChild>
                        <w:div w:id="45300527">
                          <w:marLeft w:val="0"/>
                          <w:marRight w:val="0"/>
                          <w:marTop w:val="0"/>
                          <w:marBottom w:val="0"/>
                          <w:divBdr>
                            <w:top w:val="none" w:sz="0" w:space="0" w:color="auto"/>
                            <w:left w:val="none" w:sz="0" w:space="0" w:color="auto"/>
                            <w:bottom w:val="none" w:sz="0" w:space="0" w:color="auto"/>
                            <w:right w:val="none" w:sz="0" w:space="0" w:color="auto"/>
                          </w:divBdr>
                          <w:divsChild>
                            <w:div w:id="961424731">
                              <w:marLeft w:val="0"/>
                              <w:marRight w:val="0"/>
                              <w:marTop w:val="0"/>
                              <w:marBottom w:val="0"/>
                              <w:divBdr>
                                <w:top w:val="none" w:sz="0" w:space="0" w:color="auto"/>
                                <w:left w:val="none" w:sz="0" w:space="0" w:color="auto"/>
                                <w:bottom w:val="none" w:sz="0" w:space="0" w:color="auto"/>
                                <w:right w:val="none" w:sz="0" w:space="0" w:color="auto"/>
                              </w:divBdr>
                              <w:divsChild>
                                <w:div w:id="1327512311">
                                  <w:marLeft w:val="0"/>
                                  <w:marRight w:val="0"/>
                                  <w:marTop w:val="0"/>
                                  <w:marBottom w:val="0"/>
                                  <w:divBdr>
                                    <w:top w:val="none" w:sz="0" w:space="0" w:color="auto"/>
                                    <w:left w:val="none" w:sz="0" w:space="0" w:color="auto"/>
                                    <w:bottom w:val="none" w:sz="0" w:space="0" w:color="auto"/>
                                    <w:right w:val="none" w:sz="0" w:space="0" w:color="auto"/>
                                  </w:divBdr>
                                  <w:divsChild>
                                    <w:div w:id="1561940239">
                                      <w:marLeft w:val="0"/>
                                      <w:marRight w:val="0"/>
                                      <w:marTop w:val="0"/>
                                      <w:marBottom w:val="0"/>
                                      <w:divBdr>
                                        <w:top w:val="none" w:sz="0" w:space="0" w:color="auto"/>
                                        <w:left w:val="none" w:sz="0" w:space="0" w:color="auto"/>
                                        <w:bottom w:val="none" w:sz="0" w:space="0" w:color="auto"/>
                                        <w:right w:val="none" w:sz="0" w:space="0" w:color="auto"/>
                                      </w:divBdr>
                                      <w:divsChild>
                                        <w:div w:id="14335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untreaty.un.org/English/TreatyEvent2001/pdf/07e.pdf" TargetMode="External"/><Relationship Id="rId4" Type="http://schemas.openxmlformats.org/officeDocument/2006/relationships/settings" Target="settings.xml"/><Relationship Id="rId9" Type="http://schemas.openxmlformats.org/officeDocument/2006/relationships/comments" Target="comments.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_popup&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PAVIĆ, Jordanka</Reference>
    <Case_x0020_Year xmlns="63130c8a-8d1f-4e28-8ee3-43603ca9ef3b">2009</Case_x0020_Year>
    <Case_x0020_Status xmlns="16f2acb5-7363-4076-9084-069fc3bb4325">CASE CLOSED</Case_x0020_Status>
    <Date_x0020_of_x0020_Adoption xmlns="16f2acb5-7363-4076-9084-069fc3bb4325">2013-04-25T22:00:00+00:00</Date_x0020_of_x0020_Adoption>
    <Case_x0020_Number xmlns="16f2acb5-7363-4076-9084-069fc3bb4325">098/09</Case_x0020_Number>
    <Type_x0020_of_x0020_Document xmlns="16f2acb5-7363-4076-9084-069fc3bb4325">Opinion</Type_x0020_of_x0020_Document>
    <_dlc_DocId xmlns="b9fab99d-1571-47f6-8995-3a195ef041f8">M5JDUUKXSQ5W-25-737</_dlc_DocId>
    <_dlc_DocIdUrl xmlns="b9fab99d-1571-47f6-8995-3a195ef041f8">
      <Url>http://www.unmikonline.org/hrap/Eng/_layouts/DocIdRedir.aspx?ID=M5JDUUKXSQ5W-25-737</Url>
      <Description>M5JDUUKXSQ5W-25-737</Description>
    </_dlc_DocIdUrl>
  </documentManagement>
</p:properties>
</file>

<file path=customXml/itemProps1.xml><?xml version="1.0" encoding="utf-8"?>
<ds:datastoreItem xmlns:ds="http://schemas.openxmlformats.org/officeDocument/2006/customXml" ds:itemID="{288ADD6A-191E-47FB-8A38-AEFE2041EFC8}"/>
</file>

<file path=customXml/itemProps2.xml><?xml version="1.0" encoding="utf-8"?>
<ds:datastoreItem xmlns:ds="http://schemas.openxmlformats.org/officeDocument/2006/customXml" ds:itemID="{049079EA-8C5A-4D3F-A027-924045A169F3}"/>
</file>

<file path=customXml/itemProps3.xml><?xml version="1.0" encoding="utf-8"?>
<ds:datastoreItem xmlns:ds="http://schemas.openxmlformats.org/officeDocument/2006/customXml" ds:itemID="{9A59E9EC-CE42-4A0B-B297-897AD03A42D2}"/>
</file>

<file path=customXml/itemProps4.xml><?xml version="1.0" encoding="utf-8"?>
<ds:datastoreItem xmlns:ds="http://schemas.openxmlformats.org/officeDocument/2006/customXml" ds:itemID="{80F4AB38-29F2-4EFB-9BC4-D37A5253B91B}"/>
</file>

<file path=customXml/itemProps5.xml><?xml version="1.0" encoding="utf-8"?>
<ds:datastoreItem xmlns:ds="http://schemas.openxmlformats.org/officeDocument/2006/customXml" ds:itemID="{054A3844-99BA-450D-87CF-ACF92DECF9BC}"/>
</file>

<file path=docProps/app.xml><?xml version="1.0" encoding="utf-8"?>
<Properties xmlns="http://schemas.openxmlformats.org/officeDocument/2006/extended-properties" xmlns:vt="http://schemas.openxmlformats.org/officeDocument/2006/docPropsVTypes">
  <Template>Normal</Template>
  <TotalTime>2</TotalTime>
  <Pages>23</Pages>
  <Words>9886</Words>
  <Characters>56354</Characters>
  <Application>Microsoft Office Word</Application>
  <DocSecurity>0</DocSecurity>
  <Lines>469</Lines>
  <Paragraphs>132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66108</CharactersWithSpaces>
  <SharedDoc>false</SharedDoc>
  <HLinks>
    <vt:vector size="24" baseType="variant">
      <vt:variant>
        <vt:i4>3473468</vt:i4>
      </vt:variant>
      <vt:variant>
        <vt:i4>3</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2013-04-24T14:21:00Z</cp:lastPrinted>
  <dcterms:created xsi:type="dcterms:W3CDTF">2013-04-30T07:44:00Z</dcterms:created>
  <dcterms:modified xsi:type="dcterms:W3CDTF">2013-04-30T07:44:00Z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-9598364</vt:i4>
  </property>
  <property fmtid="{D5CDD505-2E9C-101B-9397-08002B2CF9AE}" pid="3" name="ContentTypeId">
    <vt:lpwstr>0x0101007CE61A955601804CA63E6FD454F04AEB</vt:lpwstr>
  </property>
  <property fmtid="{D5CDD505-2E9C-101B-9397-08002B2CF9AE}" pid="4" name="_dlc_DocIdItemGuid">
    <vt:lpwstr>a9540841-71bb-4aeb-b1e4-556cd670334b</vt:lpwstr>
  </property>
</Properties>
</file>